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A10A" w14:textId="70B1DF7E" w:rsidR="00000000" w:rsidRPr="008D5CD2" w:rsidRDefault="00F37411" w:rsidP="008D5CD2">
      <w:pPr>
        <w:jc w:val="center"/>
        <w:rPr>
          <w:b/>
          <w:bCs/>
        </w:rPr>
      </w:pPr>
      <w:r w:rsidRPr="008D5CD2">
        <w:rPr>
          <w:b/>
          <w:bCs/>
        </w:rPr>
        <w:t xml:space="preserve">General Information </w:t>
      </w:r>
      <w:r w:rsidR="008D5CD2" w:rsidRPr="008D5CD2">
        <w:rPr>
          <w:b/>
          <w:bCs/>
        </w:rPr>
        <w:t>about Human Subjects Protections</w:t>
      </w:r>
    </w:p>
    <w:p w14:paraId="403F5759" w14:textId="7B21E7D9" w:rsidR="00F37411" w:rsidRDefault="008D0459">
      <w:r>
        <w:t xml:space="preserve">SMU holds a </w:t>
      </w:r>
      <w:proofErr w:type="spellStart"/>
      <w:r w:rsidRPr="008D0459">
        <w:rPr>
          <w:b/>
          <w:bCs/>
        </w:rPr>
        <w:t>Federalwide</w:t>
      </w:r>
      <w:proofErr w:type="spellEnd"/>
      <w:r w:rsidRPr="008D0459">
        <w:rPr>
          <w:b/>
          <w:bCs/>
        </w:rPr>
        <w:t xml:space="preserve"> Assurance (FWA)</w:t>
      </w:r>
      <w:r>
        <w:t xml:space="preserve"> to protect human subjects and comply with the federal regulations. </w:t>
      </w:r>
      <w:r w:rsidRPr="008D0459">
        <w:t xml:space="preserve">The U.S. Department of Health and Human Services published </w:t>
      </w:r>
      <w:r>
        <w:t xml:space="preserve">the revised </w:t>
      </w:r>
      <w:r w:rsidRPr="008D0459">
        <w:rPr>
          <w:b/>
          <w:bCs/>
        </w:rPr>
        <w:t>2018</w:t>
      </w:r>
      <w:r>
        <w:t xml:space="preserve"> </w:t>
      </w:r>
      <w:r w:rsidRPr="008D0459">
        <w:rPr>
          <w:b/>
          <w:bCs/>
        </w:rPr>
        <w:t>Common Rule</w:t>
      </w:r>
      <w:r>
        <w:t xml:space="preserve"> in early 2017.</w:t>
      </w:r>
      <w:r w:rsidRPr="008D0459">
        <w:t xml:space="preserve"> The </w:t>
      </w:r>
      <w:r>
        <w:t>r</w:t>
      </w:r>
      <w:r w:rsidRPr="008D0459">
        <w:t>evised Common Rule offered the first revisions since 1991, providing several revisions that offered clarifications to ensure human protection but also with the intention of reducing administrative burden for organizations and researchers.</w:t>
      </w:r>
      <w:r>
        <w:t xml:space="preserve"> </w:t>
      </w:r>
    </w:p>
    <w:p w14:paraId="0C3884F3" w14:textId="77777777" w:rsidR="002F7C0F" w:rsidRDefault="00F37411">
      <w:r>
        <w:t xml:space="preserve">The </w:t>
      </w:r>
      <w:r w:rsidRPr="008D0459">
        <w:rPr>
          <w:b/>
          <w:bCs/>
        </w:rPr>
        <w:t>Office for Human Research Protections (OHRP)</w:t>
      </w:r>
      <w:r>
        <w:t xml:space="preserve"> </w:t>
      </w:r>
    </w:p>
    <w:p w14:paraId="3C945682" w14:textId="77777777" w:rsidR="002F7C0F" w:rsidRDefault="00F37411" w:rsidP="002F7C0F">
      <w:pPr>
        <w:ind w:left="720"/>
      </w:pPr>
      <w:r w:rsidRPr="002F7C0F">
        <w:rPr>
          <w:i/>
          <w:iCs/>
        </w:rPr>
        <w:t>“</w:t>
      </w:r>
      <w:proofErr w:type="gramStart"/>
      <w:r w:rsidRPr="002F7C0F">
        <w:rPr>
          <w:i/>
          <w:iCs/>
        </w:rPr>
        <w:t>provides</w:t>
      </w:r>
      <w:proofErr w:type="gramEnd"/>
      <w:r w:rsidRPr="002F7C0F">
        <w:rPr>
          <w:i/>
          <w:iCs/>
        </w:rPr>
        <w:t xml:space="preserve"> leadership in the protection of the rights, welfare, and wellbeing of subjects involved in research conducted or supported by the U.S. Department of Health and Human Services</w:t>
      </w:r>
      <w:r w:rsidR="002F7C0F" w:rsidRPr="002F7C0F">
        <w:rPr>
          <w:i/>
          <w:iCs/>
        </w:rPr>
        <w:t xml:space="preserve"> (HHS)</w:t>
      </w:r>
      <w:r w:rsidRPr="002F7C0F">
        <w:rPr>
          <w:i/>
          <w:iCs/>
        </w:rPr>
        <w:t>. OHRP helps ensure this by providing clarification and guidance, developing educational programs and materials, maintaining regulatory oversight, and providing advice on ethical and regulatory issues in biomedical and social-behavioral research”</w:t>
      </w:r>
      <w:r>
        <w:t>. (</w:t>
      </w:r>
      <w:hyperlink r:id="rId7" w:history="1">
        <w:r w:rsidRPr="00AE4D67">
          <w:rPr>
            <w:rStyle w:val="Hyperlink"/>
          </w:rPr>
          <w:t>https://www.hhs.gov/ohrp/about-ohrp/</w:t>
        </w:r>
      </w:hyperlink>
      <w:r>
        <w:t xml:space="preserve">). </w:t>
      </w:r>
    </w:p>
    <w:p w14:paraId="2C02C9A8" w14:textId="48603DA2" w:rsidR="00F37411" w:rsidRDefault="002F7C0F" w:rsidP="002F7C0F">
      <w:r w:rsidRPr="002F7C0F">
        <w:t>The U.S. Department of Health and Human Services (HHS)</w:t>
      </w:r>
      <w:r>
        <w:t xml:space="preserve"> </w:t>
      </w:r>
      <w:r w:rsidRPr="008D0459">
        <w:rPr>
          <w:b/>
          <w:bCs/>
        </w:rPr>
        <w:t>regulations for the Protection of Human Subjects</w:t>
      </w:r>
      <w:r>
        <w:t xml:space="preserve"> are found at </w:t>
      </w:r>
      <w:r w:rsidRPr="002F7C0F">
        <w:rPr>
          <w:b/>
          <w:bCs/>
        </w:rPr>
        <w:t>45 CFR Part 46</w:t>
      </w:r>
      <w:r>
        <w:t>, including the two versions of the Common Rule</w:t>
      </w:r>
      <w:r w:rsidR="008D0459">
        <w:t xml:space="preserve"> (</w:t>
      </w:r>
      <w:hyperlink r:id="rId8" w:history="1">
        <w:r w:rsidR="008D0459" w:rsidRPr="008D0459">
          <w:rPr>
            <w:rStyle w:val="Hyperlink"/>
          </w:rPr>
          <w:t>https://www.hhs.gov/ohrp/regulations-and-policy/regulations/</w:t>
        </w:r>
      </w:hyperlink>
      <w:r w:rsidR="008D0459">
        <w:t>).</w:t>
      </w:r>
    </w:p>
    <w:p w14:paraId="601B1A6D" w14:textId="77777777" w:rsidR="00025B35" w:rsidRDefault="00025B35" w:rsidP="00025B35">
      <w:r>
        <w:t xml:space="preserve">Within SMU, </w:t>
      </w:r>
      <w:r w:rsidRPr="00FD210F">
        <w:t>Academic Affairs supports two processes for the review of research activities conducted by SMU faculty, staff</w:t>
      </w:r>
      <w:r>
        <w:t>,</w:t>
      </w:r>
      <w:r w:rsidRPr="00FD210F">
        <w:t xml:space="preserve"> and students.</w:t>
      </w:r>
    </w:p>
    <w:p w14:paraId="0AD1B49F" w14:textId="77777777" w:rsidR="00025B35" w:rsidRDefault="00025B35" w:rsidP="00025B35">
      <w:r>
        <w:rPr>
          <w:noProof/>
        </w:rPr>
        <w:drawing>
          <wp:inline distT="0" distB="0" distL="0" distR="0" wp14:anchorId="2A0AF641" wp14:editId="0195E1D3">
            <wp:extent cx="6460087" cy="2615783"/>
            <wp:effectExtent l="0" t="0" r="0" b="0"/>
            <wp:docPr id="1828968385" name="Picture 3" descr="A diagram of research ethics and integr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68385" name="Picture 3" descr="A diagram of research ethics and integrity&#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4739" cy="2625765"/>
                    </a:xfrm>
                    <a:prstGeom prst="rect">
                      <a:avLst/>
                    </a:prstGeom>
                  </pic:spPr>
                </pic:pic>
              </a:graphicData>
            </a:graphic>
          </wp:inline>
        </w:drawing>
      </w:r>
    </w:p>
    <w:p w14:paraId="04E31F12" w14:textId="77777777" w:rsidR="00025B35" w:rsidRDefault="00025B35" w:rsidP="002F7C0F"/>
    <w:p w14:paraId="5EA0C8E2" w14:textId="77777777" w:rsidR="00025B35" w:rsidRDefault="00025B35">
      <w:r>
        <w:br w:type="page"/>
      </w:r>
    </w:p>
    <w:p w14:paraId="1EEEF49E" w14:textId="182BAD37" w:rsidR="008D5CD2" w:rsidRDefault="008D5CD2" w:rsidP="008D5CD2">
      <w:r>
        <w:lastRenderedPageBreak/>
        <w:t>Federal guidelines specify different classifications of research with different review processes.</w:t>
      </w:r>
    </w:p>
    <w:p w14:paraId="502B1A87" w14:textId="77777777" w:rsidR="008D5CD2" w:rsidRDefault="008D5CD2" w:rsidP="008D5CD2">
      <w:r>
        <w:rPr>
          <w:noProof/>
        </w:rPr>
        <w:drawing>
          <wp:inline distT="0" distB="0" distL="0" distR="0" wp14:anchorId="20A591AD" wp14:editId="64E1F2BC">
            <wp:extent cx="5478905" cy="2860035"/>
            <wp:effectExtent l="0" t="0" r="0" b="0"/>
            <wp:docPr id="1034773948" name="Picture 4"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73948" name="Picture 4" descr="A picture containing text, screenshot, fo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05" cy="2860035"/>
                    </a:xfrm>
                    <a:prstGeom prst="rect">
                      <a:avLst/>
                    </a:prstGeom>
                  </pic:spPr>
                </pic:pic>
              </a:graphicData>
            </a:graphic>
          </wp:inline>
        </w:drawing>
      </w:r>
    </w:p>
    <w:p w14:paraId="02517472" w14:textId="77777777" w:rsidR="008D5CD2" w:rsidRDefault="008D5CD2" w:rsidP="002F7C0F"/>
    <w:p w14:paraId="32989F7B" w14:textId="3DAE80E7" w:rsidR="00C42A8C" w:rsidRPr="00C42A8C" w:rsidRDefault="00C42A8C" w:rsidP="002F7C0F">
      <w:pPr>
        <w:rPr>
          <w:b/>
          <w:bCs/>
        </w:rPr>
      </w:pPr>
      <w:r w:rsidRPr="00C42A8C">
        <w:rPr>
          <w:b/>
          <w:bCs/>
        </w:rPr>
        <w:t>Exempt Research</w:t>
      </w:r>
    </w:p>
    <w:p w14:paraId="7800706C" w14:textId="5B1E4061" w:rsidR="0090098E" w:rsidRDefault="0090098E" w:rsidP="002F7C0F">
      <w:r>
        <w:t>There are eight categories of research activities considered to be exempt. To qualify for exemption, the research must not be greater than minimal risk and must fall into one or more of the exempt categories. Exempt review is not allowed if the study involves vulnerable populations.</w:t>
      </w:r>
    </w:p>
    <w:p w14:paraId="6142F8C2" w14:textId="0C8C9953" w:rsidR="008D5CD2" w:rsidRDefault="002C7D43" w:rsidP="002F7C0F">
      <w:r w:rsidRPr="002C7D43">
        <w:drawing>
          <wp:inline distT="0" distB="0" distL="0" distR="0" wp14:anchorId="08E2BEB3" wp14:editId="3C560CE5">
            <wp:extent cx="5084072" cy="2582656"/>
            <wp:effectExtent l="25400" t="0" r="8890" b="0"/>
            <wp:docPr id="1450101314" name="Diagram 1">
              <a:extLst xmlns:a="http://schemas.openxmlformats.org/drawingml/2006/main">
                <a:ext uri="{FF2B5EF4-FFF2-40B4-BE49-F238E27FC236}">
                  <a16:creationId xmlns:a16="http://schemas.microsoft.com/office/drawing/2014/main" id="{3A38176E-A2FD-60AE-3C95-85B4C96D58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DA577F0" w14:textId="4D86C4E2" w:rsidR="008D5CD2" w:rsidRDefault="0090098E" w:rsidP="002F7C0F">
      <w:r>
        <w:t>For full description of each category, refer to the Exemption Categories document</w:t>
      </w:r>
      <w:r w:rsidR="00025B35">
        <w:t>.</w:t>
      </w:r>
    </w:p>
    <w:p w14:paraId="2E73C16A" w14:textId="77777777" w:rsidR="008D5CD2" w:rsidRDefault="008D5CD2" w:rsidP="002F7C0F"/>
    <w:p w14:paraId="24CC68C6" w14:textId="2A77920F" w:rsidR="008D5CD2" w:rsidRPr="006C6A58" w:rsidRDefault="00C42A8C" w:rsidP="002F7C0F">
      <w:pPr>
        <w:rPr>
          <w:b/>
          <w:bCs/>
        </w:rPr>
      </w:pPr>
      <w:r w:rsidRPr="006C6A58">
        <w:rPr>
          <w:b/>
          <w:bCs/>
        </w:rPr>
        <w:lastRenderedPageBreak/>
        <w:t>Research</w:t>
      </w:r>
      <w:r w:rsidR="006C6A58" w:rsidRPr="006C6A58">
        <w:rPr>
          <w:b/>
          <w:bCs/>
        </w:rPr>
        <w:t xml:space="preserve"> qualifying for Expedited Review</w:t>
      </w:r>
      <w:r w:rsidR="002C7D43">
        <w:rPr>
          <w:b/>
          <w:bCs/>
        </w:rPr>
        <w:t xml:space="preserve"> </w:t>
      </w:r>
      <w:r w:rsidR="00A670C6">
        <w:rPr>
          <w:b/>
          <w:bCs/>
        </w:rPr>
        <w:t>rather than requiring</w:t>
      </w:r>
      <w:r w:rsidR="002C7D43">
        <w:rPr>
          <w:b/>
          <w:bCs/>
        </w:rPr>
        <w:t xml:space="preserve"> Full Review</w:t>
      </w:r>
    </w:p>
    <w:p w14:paraId="47E84E38" w14:textId="32C2CFAC" w:rsidR="008D0459" w:rsidRDefault="00896DEC" w:rsidP="002F7C0F">
      <w:r>
        <w:t xml:space="preserve">Research activities that (1) present no more than minimal risk to human subjects, and (2) involve only procedures listed in one or more of the following categories, may be reviewed by the IRB through the expedited review procedure involving two qualified IRB reviewers. Most commonly this will be the IRB chairperson and one other reviewer.  </w:t>
      </w:r>
    </w:p>
    <w:p w14:paraId="4EC7BE09" w14:textId="2F6BB27A" w:rsidR="0090098E" w:rsidRDefault="0081002E" w:rsidP="002F7C0F">
      <w:r w:rsidRPr="0081002E">
        <w:rPr>
          <w:noProof/>
        </w:rPr>
        <w:drawing>
          <wp:inline distT="0" distB="0" distL="0" distR="0" wp14:anchorId="51AAB588" wp14:editId="24CB69BC">
            <wp:extent cx="5943600" cy="3343275"/>
            <wp:effectExtent l="0" t="0" r="0" b="0"/>
            <wp:docPr id="657620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20188" name=""/>
                    <pic:cNvPicPr/>
                  </pic:nvPicPr>
                  <pic:blipFill>
                    <a:blip r:embed="rId16"/>
                    <a:stretch>
                      <a:fillRect/>
                    </a:stretch>
                  </pic:blipFill>
                  <pic:spPr>
                    <a:xfrm>
                      <a:off x="0" y="0"/>
                      <a:ext cx="5943600" cy="3343275"/>
                    </a:xfrm>
                    <a:prstGeom prst="rect">
                      <a:avLst/>
                    </a:prstGeom>
                  </pic:spPr>
                </pic:pic>
              </a:graphicData>
            </a:graphic>
          </wp:inline>
        </w:drawing>
      </w:r>
    </w:p>
    <w:p w14:paraId="181BD476" w14:textId="714ABC14" w:rsidR="00C42A8C" w:rsidRDefault="00C42A8C" w:rsidP="00C42A8C">
      <w:r>
        <w:t>For full description of each category, refer to the Expedited Categories document.</w:t>
      </w:r>
    </w:p>
    <w:p w14:paraId="22F4DCCC" w14:textId="77777777" w:rsidR="006C6A58" w:rsidRPr="006C6A58" w:rsidRDefault="006C6A58">
      <w:pPr>
        <w:rPr>
          <w:b/>
          <w:bCs/>
        </w:rPr>
      </w:pPr>
      <w:r w:rsidRPr="006C6A58">
        <w:rPr>
          <w:b/>
          <w:bCs/>
        </w:rPr>
        <w:t>Research Requiring Full Review</w:t>
      </w:r>
    </w:p>
    <w:p w14:paraId="50039786" w14:textId="28AA6379" w:rsidR="008D0459" w:rsidRDefault="00C42A8C">
      <w:r>
        <w:t xml:space="preserve">Research not meeting criteria for </w:t>
      </w:r>
      <w:r w:rsidR="006C6A58">
        <w:t>exemption,</w:t>
      </w:r>
      <w:r>
        <w:t xml:space="preserve"> or an expedited review process will undergo full review by a quorum of the IRB committee members during a convened meeting.  </w:t>
      </w:r>
    </w:p>
    <w:sectPr w:rsidR="008D0459" w:rsidSect="0053602A">
      <w:headerReference w:type="default" r:id="rId17"/>
      <w:footerReference w:type="even" r:id="rId18"/>
      <w:footerReference w:type="defaul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32B81" w14:textId="77777777" w:rsidR="0053602A" w:rsidRDefault="0053602A" w:rsidP="00025B35">
      <w:pPr>
        <w:spacing w:after="0"/>
      </w:pPr>
      <w:r>
        <w:separator/>
      </w:r>
    </w:p>
  </w:endnote>
  <w:endnote w:type="continuationSeparator" w:id="0">
    <w:p w14:paraId="27E34D52" w14:textId="77777777" w:rsidR="0053602A" w:rsidRDefault="0053602A" w:rsidP="00025B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6ACC" w14:textId="37EE26E6" w:rsidR="00025B35" w:rsidRDefault="002C7D43">
    <w:pPr>
      <w:pStyle w:val="Footer"/>
    </w:pPr>
    <w:r>
      <w:rPr>
        <w:noProof/>
      </w:rPr>
      <mc:AlternateContent>
        <mc:Choice Requires="wps">
          <w:drawing>
            <wp:anchor distT="0" distB="0" distL="0" distR="0" simplePos="0" relativeHeight="251659264" behindDoc="0" locked="0" layoutInCell="1" allowOverlap="1" wp14:anchorId="46570BC3" wp14:editId="147938F0">
              <wp:simplePos x="635" y="635"/>
              <wp:positionH relativeFrom="page">
                <wp:align>center</wp:align>
              </wp:positionH>
              <wp:positionV relativeFrom="page">
                <wp:align>bottom</wp:align>
              </wp:positionV>
              <wp:extent cx="924560" cy="345440"/>
              <wp:effectExtent l="0" t="0" r="2540" b="0"/>
              <wp:wrapNone/>
              <wp:docPr id="9008773" name="Text Box 2" descr="SMU - Public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24560" cy="345440"/>
                      </a:xfrm>
                      <a:prstGeom prst="rect">
                        <a:avLst/>
                      </a:prstGeom>
                      <a:noFill/>
                      <a:ln>
                        <a:noFill/>
                      </a:ln>
                    </wps:spPr>
                    <wps:txbx>
                      <w:txbxContent>
                        <w:p w14:paraId="028CAB74" w14:textId="699A287A" w:rsidR="002C7D43" w:rsidRPr="002C7D43" w:rsidRDefault="002C7D43" w:rsidP="002C7D43">
                          <w:pPr>
                            <w:spacing w:after="0"/>
                            <w:rPr>
                              <w:rFonts w:ascii="Calibri" w:eastAsia="Calibri" w:hAnsi="Calibri" w:cs="Calibri"/>
                              <w:noProof/>
                              <w:color w:val="000000"/>
                              <w:sz w:val="20"/>
                              <w:szCs w:val="20"/>
                            </w:rPr>
                          </w:pPr>
                          <w:r w:rsidRPr="002C7D43">
                            <w:rPr>
                              <w:rFonts w:ascii="Calibri" w:eastAsia="Calibri" w:hAnsi="Calibri" w:cs="Calibri"/>
                              <w:noProof/>
                              <w:color w:val="000000"/>
                              <w:sz w:val="20"/>
                              <w:szCs w:val="20"/>
                            </w:rPr>
                            <w:t>SMU - Public Data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570BC3" id="_x0000_t202" coordsize="21600,21600" o:spt="202" path="m,l,21600r21600,l21600,xe">
              <v:stroke joinstyle="miter"/>
              <v:path gradientshapeok="t" o:connecttype="rect"/>
            </v:shapetype>
            <v:shape id="Text Box 2" o:spid="_x0000_s1026" type="#_x0000_t202" alt="SMU - Public Data" style="position:absolute;margin-left:0;margin-top:0;width:72.8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" filled="f" stroked="f">
              <v:fill o:detectmouseclick="t"/>
              <v:textbox style="mso-fit-shape-to-text:t" inset="0,0,0,15pt">
                <w:txbxContent>
                  <w:p w14:paraId="028CAB74" w14:textId="699A287A" w:rsidR="002C7D43" w:rsidRPr="002C7D43" w:rsidRDefault="002C7D43" w:rsidP="002C7D43">
                    <w:pPr>
                      <w:spacing w:after="0"/>
                      <w:rPr>
                        <w:rFonts w:ascii="Calibri" w:eastAsia="Calibri" w:hAnsi="Calibri" w:cs="Calibri"/>
                        <w:noProof/>
                        <w:color w:val="000000"/>
                        <w:sz w:val="20"/>
                        <w:szCs w:val="20"/>
                      </w:rPr>
                    </w:pPr>
                    <w:r w:rsidRPr="002C7D43">
                      <w:rPr>
                        <w:rFonts w:ascii="Calibri" w:eastAsia="Calibri" w:hAnsi="Calibri" w:cs="Calibri"/>
                        <w:noProof/>
                        <w:color w:val="000000"/>
                        <w:sz w:val="20"/>
                        <w:szCs w:val="20"/>
                      </w:rPr>
                      <w:t>SMU - Public Data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8CDF" w14:textId="64D4D806" w:rsidR="00025B35" w:rsidRDefault="002C7D43">
    <w:pPr>
      <w:pStyle w:val="Footer"/>
    </w:pPr>
    <w:r>
      <w:rPr>
        <w:noProof/>
      </w:rPr>
      <mc:AlternateContent>
        <mc:Choice Requires="wps">
          <w:drawing>
            <wp:anchor distT="0" distB="0" distL="0" distR="0" simplePos="0" relativeHeight="251660288" behindDoc="0" locked="0" layoutInCell="1" allowOverlap="1" wp14:anchorId="07A6D034" wp14:editId="4CE69CF9">
              <wp:simplePos x="0" y="0"/>
              <wp:positionH relativeFrom="page">
                <wp:align>center</wp:align>
              </wp:positionH>
              <wp:positionV relativeFrom="page">
                <wp:align>bottom</wp:align>
              </wp:positionV>
              <wp:extent cx="924560" cy="345440"/>
              <wp:effectExtent l="0" t="0" r="2540" b="0"/>
              <wp:wrapNone/>
              <wp:docPr id="1941136679" name="Text Box 3" descr="SMU - Public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24560" cy="345440"/>
                      </a:xfrm>
                      <a:prstGeom prst="rect">
                        <a:avLst/>
                      </a:prstGeom>
                      <a:noFill/>
                      <a:ln>
                        <a:noFill/>
                      </a:ln>
                    </wps:spPr>
                    <wps:txbx>
                      <w:txbxContent>
                        <w:p w14:paraId="77F0A6DB" w14:textId="663E047C" w:rsidR="002C7D43" w:rsidRPr="002C7D43" w:rsidRDefault="002C7D43" w:rsidP="002C7D43">
                          <w:pPr>
                            <w:spacing w:after="0"/>
                            <w:rPr>
                              <w:rFonts w:ascii="Calibri" w:eastAsia="Calibri" w:hAnsi="Calibri" w:cs="Calibri"/>
                              <w:noProof/>
                              <w:color w:val="000000"/>
                              <w:sz w:val="20"/>
                              <w:szCs w:val="20"/>
                            </w:rPr>
                          </w:pPr>
                          <w:r w:rsidRPr="002C7D43">
                            <w:rPr>
                              <w:rFonts w:ascii="Calibri" w:eastAsia="Calibri" w:hAnsi="Calibri" w:cs="Calibri"/>
                              <w:noProof/>
                              <w:color w:val="000000"/>
                              <w:sz w:val="20"/>
                              <w:szCs w:val="20"/>
                            </w:rPr>
                            <w:t>SMU - Public Data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6D034" id="_x0000_t202" coordsize="21600,21600" o:spt="202" path="m,l,21600r21600,l21600,xe">
              <v:stroke joinstyle="miter"/>
              <v:path gradientshapeok="t" o:connecttype="rect"/>
            </v:shapetype>
            <v:shape id="Text Box 3" o:spid="_x0000_s1027" type="#_x0000_t202" alt="SMU - Public Data" style="position:absolute;margin-left:0;margin-top:0;width:72.8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" filled="f" stroked="f">
              <v:fill o:detectmouseclick="t"/>
              <v:textbox style="mso-fit-shape-to-text:t" inset="0,0,0,15pt">
                <w:txbxContent>
                  <w:p w14:paraId="77F0A6DB" w14:textId="663E047C" w:rsidR="002C7D43" w:rsidRPr="002C7D43" w:rsidRDefault="002C7D43" w:rsidP="002C7D43">
                    <w:pPr>
                      <w:spacing w:after="0"/>
                      <w:rPr>
                        <w:rFonts w:ascii="Calibri" w:eastAsia="Calibri" w:hAnsi="Calibri" w:cs="Calibri"/>
                        <w:noProof/>
                        <w:color w:val="000000"/>
                        <w:sz w:val="20"/>
                        <w:szCs w:val="20"/>
                      </w:rPr>
                    </w:pPr>
                    <w:r w:rsidRPr="002C7D43">
                      <w:rPr>
                        <w:rFonts w:ascii="Calibri" w:eastAsia="Calibri" w:hAnsi="Calibri" w:cs="Calibri"/>
                        <w:noProof/>
                        <w:color w:val="000000"/>
                        <w:sz w:val="20"/>
                        <w:szCs w:val="20"/>
                      </w:rPr>
                      <w:t>SMU - Public Data</w:t>
                    </w:r>
                  </w:p>
                </w:txbxContent>
              </v:textbox>
              <w10:wrap anchorx="page" anchory="page"/>
            </v:shape>
          </w:pict>
        </mc:Fallback>
      </mc:AlternateContent>
    </w:r>
    <w:r>
      <w:t>Updated Spring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E0B1" w14:textId="31F4CAD4" w:rsidR="00025B35" w:rsidRDefault="002C7D43">
    <w:pPr>
      <w:pStyle w:val="Footer"/>
    </w:pPr>
    <w:r>
      <w:rPr>
        <w:noProof/>
      </w:rPr>
      <mc:AlternateContent>
        <mc:Choice Requires="wps">
          <w:drawing>
            <wp:anchor distT="0" distB="0" distL="0" distR="0" simplePos="0" relativeHeight="251658240" behindDoc="0" locked="0" layoutInCell="1" allowOverlap="1" wp14:anchorId="1715FA7D" wp14:editId="1517346B">
              <wp:simplePos x="635" y="635"/>
              <wp:positionH relativeFrom="page">
                <wp:align>center</wp:align>
              </wp:positionH>
              <wp:positionV relativeFrom="page">
                <wp:align>bottom</wp:align>
              </wp:positionV>
              <wp:extent cx="924560" cy="345440"/>
              <wp:effectExtent l="0" t="0" r="2540" b="0"/>
              <wp:wrapNone/>
              <wp:docPr id="756026507" name="Text Box 1" descr="SMU - Public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24560" cy="345440"/>
                      </a:xfrm>
                      <a:prstGeom prst="rect">
                        <a:avLst/>
                      </a:prstGeom>
                      <a:noFill/>
                      <a:ln>
                        <a:noFill/>
                      </a:ln>
                    </wps:spPr>
                    <wps:txbx>
                      <w:txbxContent>
                        <w:p w14:paraId="5A70B6A4" w14:textId="311B9C21" w:rsidR="002C7D43" w:rsidRPr="002C7D43" w:rsidRDefault="002C7D43" w:rsidP="002C7D43">
                          <w:pPr>
                            <w:spacing w:after="0"/>
                            <w:rPr>
                              <w:rFonts w:ascii="Calibri" w:eastAsia="Calibri" w:hAnsi="Calibri" w:cs="Calibri"/>
                              <w:noProof/>
                              <w:color w:val="000000"/>
                              <w:sz w:val="20"/>
                              <w:szCs w:val="20"/>
                            </w:rPr>
                          </w:pPr>
                          <w:r w:rsidRPr="002C7D43">
                            <w:rPr>
                              <w:rFonts w:ascii="Calibri" w:eastAsia="Calibri" w:hAnsi="Calibri" w:cs="Calibri"/>
                              <w:noProof/>
                              <w:color w:val="000000"/>
                              <w:sz w:val="20"/>
                              <w:szCs w:val="20"/>
                            </w:rPr>
                            <w:t>SMU - Public Data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5FA7D" id="_x0000_t202" coordsize="21600,21600" o:spt="202" path="m,l,21600r21600,l21600,xe">
              <v:stroke joinstyle="miter"/>
              <v:path gradientshapeok="t" o:connecttype="rect"/>
            </v:shapetype>
            <v:shape id="Text Box 1" o:spid="_x0000_s1028" type="#_x0000_t202" alt="SMU - Public Data" style="position:absolute;margin-left:0;margin-top:0;width:72.8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" filled="f" stroked="f">
              <v:fill o:detectmouseclick="t"/>
              <v:textbox style="mso-fit-shape-to-text:t" inset="0,0,0,15pt">
                <w:txbxContent>
                  <w:p w14:paraId="5A70B6A4" w14:textId="311B9C21" w:rsidR="002C7D43" w:rsidRPr="002C7D43" w:rsidRDefault="002C7D43" w:rsidP="002C7D43">
                    <w:pPr>
                      <w:spacing w:after="0"/>
                      <w:rPr>
                        <w:rFonts w:ascii="Calibri" w:eastAsia="Calibri" w:hAnsi="Calibri" w:cs="Calibri"/>
                        <w:noProof/>
                        <w:color w:val="000000"/>
                        <w:sz w:val="20"/>
                        <w:szCs w:val="20"/>
                      </w:rPr>
                    </w:pPr>
                    <w:r w:rsidRPr="002C7D43">
                      <w:rPr>
                        <w:rFonts w:ascii="Calibri" w:eastAsia="Calibri" w:hAnsi="Calibri" w:cs="Calibri"/>
                        <w:noProof/>
                        <w:color w:val="000000"/>
                        <w:sz w:val="20"/>
                        <w:szCs w:val="20"/>
                      </w:rPr>
                      <w:t>SMU - Public Data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C0785" w14:textId="77777777" w:rsidR="0053602A" w:rsidRDefault="0053602A" w:rsidP="00025B35">
      <w:pPr>
        <w:spacing w:after="0"/>
      </w:pPr>
      <w:r>
        <w:separator/>
      </w:r>
    </w:p>
  </w:footnote>
  <w:footnote w:type="continuationSeparator" w:id="0">
    <w:p w14:paraId="3968C65A" w14:textId="77777777" w:rsidR="0053602A" w:rsidRDefault="0053602A" w:rsidP="00025B3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A3E4" w14:textId="224D0C64" w:rsidR="00D82F21" w:rsidRDefault="00D82F21">
    <w:pPr>
      <w:pStyle w:val="Header"/>
    </w:pPr>
    <w:r>
      <w:t>Samuel Merritt University Academic Affairs</w:t>
    </w:r>
  </w:p>
  <w:p w14:paraId="348154EA" w14:textId="77777777" w:rsidR="00D82F21" w:rsidRDefault="00D82F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5A1D5D"/>
    <w:multiLevelType w:val="hybridMultilevel"/>
    <w:tmpl w:val="576AFBD2"/>
    <w:lvl w:ilvl="0" w:tplc="37FE6D7C">
      <w:start w:val="1"/>
      <w:numFmt w:val="bullet"/>
      <w:lvlText w:val="•"/>
      <w:lvlJc w:val="left"/>
      <w:pPr>
        <w:tabs>
          <w:tab w:val="num" w:pos="720"/>
        </w:tabs>
        <w:ind w:left="720" w:hanging="360"/>
      </w:pPr>
      <w:rPr>
        <w:rFonts w:ascii="Arial" w:hAnsi="Arial" w:hint="default"/>
      </w:rPr>
    </w:lvl>
    <w:lvl w:ilvl="1" w:tplc="9DEC03EA" w:tentative="1">
      <w:start w:val="1"/>
      <w:numFmt w:val="bullet"/>
      <w:lvlText w:val="•"/>
      <w:lvlJc w:val="left"/>
      <w:pPr>
        <w:tabs>
          <w:tab w:val="num" w:pos="1440"/>
        </w:tabs>
        <w:ind w:left="1440" w:hanging="360"/>
      </w:pPr>
      <w:rPr>
        <w:rFonts w:ascii="Arial" w:hAnsi="Arial" w:hint="default"/>
      </w:rPr>
    </w:lvl>
    <w:lvl w:ilvl="2" w:tplc="6C325136" w:tentative="1">
      <w:start w:val="1"/>
      <w:numFmt w:val="bullet"/>
      <w:lvlText w:val="•"/>
      <w:lvlJc w:val="left"/>
      <w:pPr>
        <w:tabs>
          <w:tab w:val="num" w:pos="2160"/>
        </w:tabs>
        <w:ind w:left="2160" w:hanging="360"/>
      </w:pPr>
      <w:rPr>
        <w:rFonts w:ascii="Arial" w:hAnsi="Arial" w:hint="default"/>
      </w:rPr>
    </w:lvl>
    <w:lvl w:ilvl="3" w:tplc="FAF4291A" w:tentative="1">
      <w:start w:val="1"/>
      <w:numFmt w:val="bullet"/>
      <w:lvlText w:val="•"/>
      <w:lvlJc w:val="left"/>
      <w:pPr>
        <w:tabs>
          <w:tab w:val="num" w:pos="2880"/>
        </w:tabs>
        <w:ind w:left="2880" w:hanging="360"/>
      </w:pPr>
      <w:rPr>
        <w:rFonts w:ascii="Arial" w:hAnsi="Arial" w:hint="default"/>
      </w:rPr>
    </w:lvl>
    <w:lvl w:ilvl="4" w:tplc="4BE02178" w:tentative="1">
      <w:start w:val="1"/>
      <w:numFmt w:val="bullet"/>
      <w:lvlText w:val="•"/>
      <w:lvlJc w:val="left"/>
      <w:pPr>
        <w:tabs>
          <w:tab w:val="num" w:pos="3600"/>
        </w:tabs>
        <w:ind w:left="3600" w:hanging="360"/>
      </w:pPr>
      <w:rPr>
        <w:rFonts w:ascii="Arial" w:hAnsi="Arial" w:hint="default"/>
      </w:rPr>
    </w:lvl>
    <w:lvl w:ilvl="5" w:tplc="51E4FE6E" w:tentative="1">
      <w:start w:val="1"/>
      <w:numFmt w:val="bullet"/>
      <w:lvlText w:val="•"/>
      <w:lvlJc w:val="left"/>
      <w:pPr>
        <w:tabs>
          <w:tab w:val="num" w:pos="4320"/>
        </w:tabs>
        <w:ind w:left="4320" w:hanging="360"/>
      </w:pPr>
      <w:rPr>
        <w:rFonts w:ascii="Arial" w:hAnsi="Arial" w:hint="default"/>
      </w:rPr>
    </w:lvl>
    <w:lvl w:ilvl="6" w:tplc="5146470C" w:tentative="1">
      <w:start w:val="1"/>
      <w:numFmt w:val="bullet"/>
      <w:lvlText w:val="•"/>
      <w:lvlJc w:val="left"/>
      <w:pPr>
        <w:tabs>
          <w:tab w:val="num" w:pos="5040"/>
        </w:tabs>
        <w:ind w:left="5040" w:hanging="360"/>
      </w:pPr>
      <w:rPr>
        <w:rFonts w:ascii="Arial" w:hAnsi="Arial" w:hint="default"/>
      </w:rPr>
    </w:lvl>
    <w:lvl w:ilvl="7" w:tplc="FBF48844" w:tentative="1">
      <w:start w:val="1"/>
      <w:numFmt w:val="bullet"/>
      <w:lvlText w:val="•"/>
      <w:lvlJc w:val="left"/>
      <w:pPr>
        <w:tabs>
          <w:tab w:val="num" w:pos="5760"/>
        </w:tabs>
        <w:ind w:left="5760" w:hanging="360"/>
      </w:pPr>
      <w:rPr>
        <w:rFonts w:ascii="Arial" w:hAnsi="Arial" w:hint="default"/>
      </w:rPr>
    </w:lvl>
    <w:lvl w:ilvl="8" w:tplc="1EDC62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1E63400"/>
    <w:multiLevelType w:val="hybridMultilevel"/>
    <w:tmpl w:val="56F0BED8"/>
    <w:lvl w:ilvl="0" w:tplc="FF7AAD44">
      <w:start w:val="1"/>
      <w:numFmt w:val="bullet"/>
      <w:lvlText w:val="•"/>
      <w:lvlJc w:val="left"/>
      <w:pPr>
        <w:tabs>
          <w:tab w:val="num" w:pos="720"/>
        </w:tabs>
        <w:ind w:left="720" w:hanging="360"/>
      </w:pPr>
      <w:rPr>
        <w:rFonts w:ascii="Times New Roman" w:hAnsi="Times New Roman" w:hint="default"/>
      </w:rPr>
    </w:lvl>
    <w:lvl w:ilvl="1" w:tplc="96FCCAF0" w:tentative="1">
      <w:start w:val="1"/>
      <w:numFmt w:val="bullet"/>
      <w:lvlText w:val="•"/>
      <w:lvlJc w:val="left"/>
      <w:pPr>
        <w:tabs>
          <w:tab w:val="num" w:pos="1440"/>
        </w:tabs>
        <w:ind w:left="1440" w:hanging="360"/>
      </w:pPr>
      <w:rPr>
        <w:rFonts w:ascii="Times New Roman" w:hAnsi="Times New Roman" w:hint="default"/>
      </w:rPr>
    </w:lvl>
    <w:lvl w:ilvl="2" w:tplc="0A9A2F62" w:tentative="1">
      <w:start w:val="1"/>
      <w:numFmt w:val="bullet"/>
      <w:lvlText w:val="•"/>
      <w:lvlJc w:val="left"/>
      <w:pPr>
        <w:tabs>
          <w:tab w:val="num" w:pos="2160"/>
        </w:tabs>
        <w:ind w:left="2160" w:hanging="360"/>
      </w:pPr>
      <w:rPr>
        <w:rFonts w:ascii="Times New Roman" w:hAnsi="Times New Roman" w:hint="default"/>
      </w:rPr>
    </w:lvl>
    <w:lvl w:ilvl="3" w:tplc="447E2658" w:tentative="1">
      <w:start w:val="1"/>
      <w:numFmt w:val="bullet"/>
      <w:lvlText w:val="•"/>
      <w:lvlJc w:val="left"/>
      <w:pPr>
        <w:tabs>
          <w:tab w:val="num" w:pos="2880"/>
        </w:tabs>
        <w:ind w:left="2880" w:hanging="360"/>
      </w:pPr>
      <w:rPr>
        <w:rFonts w:ascii="Times New Roman" w:hAnsi="Times New Roman" w:hint="default"/>
      </w:rPr>
    </w:lvl>
    <w:lvl w:ilvl="4" w:tplc="565EE594" w:tentative="1">
      <w:start w:val="1"/>
      <w:numFmt w:val="bullet"/>
      <w:lvlText w:val="•"/>
      <w:lvlJc w:val="left"/>
      <w:pPr>
        <w:tabs>
          <w:tab w:val="num" w:pos="3600"/>
        </w:tabs>
        <w:ind w:left="3600" w:hanging="360"/>
      </w:pPr>
      <w:rPr>
        <w:rFonts w:ascii="Times New Roman" w:hAnsi="Times New Roman" w:hint="default"/>
      </w:rPr>
    </w:lvl>
    <w:lvl w:ilvl="5" w:tplc="DCE4AB78" w:tentative="1">
      <w:start w:val="1"/>
      <w:numFmt w:val="bullet"/>
      <w:lvlText w:val="•"/>
      <w:lvlJc w:val="left"/>
      <w:pPr>
        <w:tabs>
          <w:tab w:val="num" w:pos="4320"/>
        </w:tabs>
        <w:ind w:left="4320" w:hanging="360"/>
      </w:pPr>
      <w:rPr>
        <w:rFonts w:ascii="Times New Roman" w:hAnsi="Times New Roman" w:hint="default"/>
      </w:rPr>
    </w:lvl>
    <w:lvl w:ilvl="6" w:tplc="8CF62818" w:tentative="1">
      <w:start w:val="1"/>
      <w:numFmt w:val="bullet"/>
      <w:lvlText w:val="•"/>
      <w:lvlJc w:val="left"/>
      <w:pPr>
        <w:tabs>
          <w:tab w:val="num" w:pos="5040"/>
        </w:tabs>
        <w:ind w:left="5040" w:hanging="360"/>
      </w:pPr>
      <w:rPr>
        <w:rFonts w:ascii="Times New Roman" w:hAnsi="Times New Roman" w:hint="default"/>
      </w:rPr>
    </w:lvl>
    <w:lvl w:ilvl="7" w:tplc="6ADAB1C8" w:tentative="1">
      <w:start w:val="1"/>
      <w:numFmt w:val="bullet"/>
      <w:lvlText w:val="•"/>
      <w:lvlJc w:val="left"/>
      <w:pPr>
        <w:tabs>
          <w:tab w:val="num" w:pos="5760"/>
        </w:tabs>
        <w:ind w:left="5760" w:hanging="360"/>
      </w:pPr>
      <w:rPr>
        <w:rFonts w:ascii="Times New Roman" w:hAnsi="Times New Roman" w:hint="default"/>
      </w:rPr>
    </w:lvl>
    <w:lvl w:ilvl="8" w:tplc="E6CA7B1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57C0F51"/>
    <w:multiLevelType w:val="hybridMultilevel"/>
    <w:tmpl w:val="8F0EB6BA"/>
    <w:lvl w:ilvl="0" w:tplc="6D061722">
      <w:start w:val="1"/>
      <w:numFmt w:val="bullet"/>
      <w:lvlText w:val="u"/>
      <w:lvlJc w:val="left"/>
      <w:pPr>
        <w:tabs>
          <w:tab w:val="num" w:pos="720"/>
        </w:tabs>
        <w:ind w:left="720" w:hanging="360"/>
      </w:pPr>
      <w:rPr>
        <w:rFonts w:ascii="Wingdings 3" w:hAnsi="Wingdings 3" w:hint="default"/>
      </w:rPr>
    </w:lvl>
    <w:lvl w:ilvl="1" w:tplc="D9C641D8" w:tentative="1">
      <w:start w:val="1"/>
      <w:numFmt w:val="bullet"/>
      <w:lvlText w:val="u"/>
      <w:lvlJc w:val="left"/>
      <w:pPr>
        <w:tabs>
          <w:tab w:val="num" w:pos="1440"/>
        </w:tabs>
        <w:ind w:left="1440" w:hanging="360"/>
      </w:pPr>
      <w:rPr>
        <w:rFonts w:ascii="Wingdings 3" w:hAnsi="Wingdings 3" w:hint="default"/>
      </w:rPr>
    </w:lvl>
    <w:lvl w:ilvl="2" w:tplc="67F81A34" w:tentative="1">
      <w:start w:val="1"/>
      <w:numFmt w:val="bullet"/>
      <w:lvlText w:val="u"/>
      <w:lvlJc w:val="left"/>
      <w:pPr>
        <w:tabs>
          <w:tab w:val="num" w:pos="2160"/>
        </w:tabs>
        <w:ind w:left="2160" w:hanging="360"/>
      </w:pPr>
      <w:rPr>
        <w:rFonts w:ascii="Wingdings 3" w:hAnsi="Wingdings 3" w:hint="default"/>
      </w:rPr>
    </w:lvl>
    <w:lvl w:ilvl="3" w:tplc="AB00A0D6" w:tentative="1">
      <w:start w:val="1"/>
      <w:numFmt w:val="bullet"/>
      <w:lvlText w:val="u"/>
      <w:lvlJc w:val="left"/>
      <w:pPr>
        <w:tabs>
          <w:tab w:val="num" w:pos="2880"/>
        </w:tabs>
        <w:ind w:left="2880" w:hanging="360"/>
      </w:pPr>
      <w:rPr>
        <w:rFonts w:ascii="Wingdings 3" w:hAnsi="Wingdings 3" w:hint="default"/>
      </w:rPr>
    </w:lvl>
    <w:lvl w:ilvl="4" w:tplc="B4746CB2" w:tentative="1">
      <w:start w:val="1"/>
      <w:numFmt w:val="bullet"/>
      <w:lvlText w:val="u"/>
      <w:lvlJc w:val="left"/>
      <w:pPr>
        <w:tabs>
          <w:tab w:val="num" w:pos="3600"/>
        </w:tabs>
        <w:ind w:left="3600" w:hanging="360"/>
      </w:pPr>
      <w:rPr>
        <w:rFonts w:ascii="Wingdings 3" w:hAnsi="Wingdings 3" w:hint="default"/>
      </w:rPr>
    </w:lvl>
    <w:lvl w:ilvl="5" w:tplc="430EEEAC" w:tentative="1">
      <w:start w:val="1"/>
      <w:numFmt w:val="bullet"/>
      <w:lvlText w:val="u"/>
      <w:lvlJc w:val="left"/>
      <w:pPr>
        <w:tabs>
          <w:tab w:val="num" w:pos="4320"/>
        </w:tabs>
        <w:ind w:left="4320" w:hanging="360"/>
      </w:pPr>
      <w:rPr>
        <w:rFonts w:ascii="Wingdings 3" w:hAnsi="Wingdings 3" w:hint="default"/>
      </w:rPr>
    </w:lvl>
    <w:lvl w:ilvl="6" w:tplc="BE123BC2" w:tentative="1">
      <w:start w:val="1"/>
      <w:numFmt w:val="bullet"/>
      <w:lvlText w:val="u"/>
      <w:lvlJc w:val="left"/>
      <w:pPr>
        <w:tabs>
          <w:tab w:val="num" w:pos="5040"/>
        </w:tabs>
        <w:ind w:left="5040" w:hanging="360"/>
      </w:pPr>
      <w:rPr>
        <w:rFonts w:ascii="Wingdings 3" w:hAnsi="Wingdings 3" w:hint="default"/>
      </w:rPr>
    </w:lvl>
    <w:lvl w:ilvl="7" w:tplc="CF7A1344" w:tentative="1">
      <w:start w:val="1"/>
      <w:numFmt w:val="bullet"/>
      <w:lvlText w:val="u"/>
      <w:lvlJc w:val="left"/>
      <w:pPr>
        <w:tabs>
          <w:tab w:val="num" w:pos="5760"/>
        </w:tabs>
        <w:ind w:left="5760" w:hanging="360"/>
      </w:pPr>
      <w:rPr>
        <w:rFonts w:ascii="Wingdings 3" w:hAnsi="Wingdings 3" w:hint="default"/>
      </w:rPr>
    </w:lvl>
    <w:lvl w:ilvl="8" w:tplc="84D0B652" w:tentative="1">
      <w:start w:val="1"/>
      <w:numFmt w:val="bullet"/>
      <w:lvlText w:val="u"/>
      <w:lvlJc w:val="left"/>
      <w:pPr>
        <w:tabs>
          <w:tab w:val="num" w:pos="6480"/>
        </w:tabs>
        <w:ind w:left="6480" w:hanging="360"/>
      </w:pPr>
      <w:rPr>
        <w:rFonts w:ascii="Wingdings 3" w:hAnsi="Wingdings 3" w:hint="default"/>
      </w:rPr>
    </w:lvl>
  </w:abstractNum>
  <w:num w:numId="1" w16cid:durableId="1183205573">
    <w:abstractNumId w:val="2"/>
  </w:num>
  <w:num w:numId="2" w16cid:durableId="189997089">
    <w:abstractNumId w:val="0"/>
  </w:num>
  <w:num w:numId="3" w16cid:durableId="627010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411"/>
    <w:rsid w:val="000018B9"/>
    <w:rsid w:val="00005420"/>
    <w:rsid w:val="00010AF7"/>
    <w:rsid w:val="000115BD"/>
    <w:rsid w:val="00015A73"/>
    <w:rsid w:val="00015AD7"/>
    <w:rsid w:val="00020DA4"/>
    <w:rsid w:val="00025B35"/>
    <w:rsid w:val="000279A7"/>
    <w:rsid w:val="00030380"/>
    <w:rsid w:val="00037470"/>
    <w:rsid w:val="000412FB"/>
    <w:rsid w:val="000577B1"/>
    <w:rsid w:val="00060F32"/>
    <w:rsid w:val="00062169"/>
    <w:rsid w:val="00086168"/>
    <w:rsid w:val="00090B6C"/>
    <w:rsid w:val="000A75AB"/>
    <w:rsid w:val="000D3A20"/>
    <w:rsid w:val="000E2BF2"/>
    <w:rsid w:val="000E5DE8"/>
    <w:rsid w:val="000E5FF6"/>
    <w:rsid w:val="00100756"/>
    <w:rsid w:val="0011123D"/>
    <w:rsid w:val="00131664"/>
    <w:rsid w:val="00150CA1"/>
    <w:rsid w:val="00154CA9"/>
    <w:rsid w:val="001636DE"/>
    <w:rsid w:val="001657BF"/>
    <w:rsid w:val="0017186C"/>
    <w:rsid w:val="00174B62"/>
    <w:rsid w:val="001A1145"/>
    <w:rsid w:val="001C22A3"/>
    <w:rsid w:val="001C4992"/>
    <w:rsid w:val="001D756A"/>
    <w:rsid w:val="001E30A1"/>
    <w:rsid w:val="001E6574"/>
    <w:rsid w:val="00200217"/>
    <w:rsid w:val="0020640C"/>
    <w:rsid w:val="00214757"/>
    <w:rsid w:val="00214820"/>
    <w:rsid w:val="002220DB"/>
    <w:rsid w:val="00226B0B"/>
    <w:rsid w:val="002414FA"/>
    <w:rsid w:val="00243B2C"/>
    <w:rsid w:val="00244E57"/>
    <w:rsid w:val="00255FE0"/>
    <w:rsid w:val="00272C1C"/>
    <w:rsid w:val="00273AEA"/>
    <w:rsid w:val="002755DF"/>
    <w:rsid w:val="002805E2"/>
    <w:rsid w:val="00292255"/>
    <w:rsid w:val="002922E1"/>
    <w:rsid w:val="002A6B9A"/>
    <w:rsid w:val="002B75DE"/>
    <w:rsid w:val="002C6303"/>
    <w:rsid w:val="002C7D43"/>
    <w:rsid w:val="002D0EA7"/>
    <w:rsid w:val="002D2FC1"/>
    <w:rsid w:val="002E1291"/>
    <w:rsid w:val="002F51A2"/>
    <w:rsid w:val="002F7C0F"/>
    <w:rsid w:val="00301EBF"/>
    <w:rsid w:val="00302544"/>
    <w:rsid w:val="00306312"/>
    <w:rsid w:val="0031107A"/>
    <w:rsid w:val="00314A40"/>
    <w:rsid w:val="00341B30"/>
    <w:rsid w:val="00343754"/>
    <w:rsid w:val="00345352"/>
    <w:rsid w:val="00351A7A"/>
    <w:rsid w:val="0036329B"/>
    <w:rsid w:val="003751F8"/>
    <w:rsid w:val="003776A2"/>
    <w:rsid w:val="0039121A"/>
    <w:rsid w:val="003A231F"/>
    <w:rsid w:val="003A343C"/>
    <w:rsid w:val="003A4303"/>
    <w:rsid w:val="003B1362"/>
    <w:rsid w:val="003B1C74"/>
    <w:rsid w:val="003B3706"/>
    <w:rsid w:val="003C1D94"/>
    <w:rsid w:val="003D5B96"/>
    <w:rsid w:val="003E35F3"/>
    <w:rsid w:val="003F7116"/>
    <w:rsid w:val="004029B1"/>
    <w:rsid w:val="00411A0C"/>
    <w:rsid w:val="004252C4"/>
    <w:rsid w:val="00433565"/>
    <w:rsid w:val="0044065C"/>
    <w:rsid w:val="00444FF9"/>
    <w:rsid w:val="004571E4"/>
    <w:rsid w:val="00460F10"/>
    <w:rsid w:val="00470E55"/>
    <w:rsid w:val="00473916"/>
    <w:rsid w:val="00495064"/>
    <w:rsid w:val="004A3947"/>
    <w:rsid w:val="004C3BF9"/>
    <w:rsid w:val="004C46F4"/>
    <w:rsid w:val="004D3C6B"/>
    <w:rsid w:val="004D5189"/>
    <w:rsid w:val="004E7746"/>
    <w:rsid w:val="004F1529"/>
    <w:rsid w:val="004F1894"/>
    <w:rsid w:val="004F2CA7"/>
    <w:rsid w:val="004F3D42"/>
    <w:rsid w:val="004F42E1"/>
    <w:rsid w:val="004F482C"/>
    <w:rsid w:val="004F7C2F"/>
    <w:rsid w:val="00515651"/>
    <w:rsid w:val="00517336"/>
    <w:rsid w:val="00522730"/>
    <w:rsid w:val="005303E0"/>
    <w:rsid w:val="0053602A"/>
    <w:rsid w:val="00556C9A"/>
    <w:rsid w:val="00573746"/>
    <w:rsid w:val="0057426F"/>
    <w:rsid w:val="005839E6"/>
    <w:rsid w:val="005933F6"/>
    <w:rsid w:val="00595BA1"/>
    <w:rsid w:val="00597F4A"/>
    <w:rsid w:val="005B27B3"/>
    <w:rsid w:val="005B31D6"/>
    <w:rsid w:val="005D1BD4"/>
    <w:rsid w:val="005E2F9A"/>
    <w:rsid w:val="005E7836"/>
    <w:rsid w:val="006047B3"/>
    <w:rsid w:val="0060747D"/>
    <w:rsid w:val="00636846"/>
    <w:rsid w:val="00636A3A"/>
    <w:rsid w:val="00646EC5"/>
    <w:rsid w:val="00654E0E"/>
    <w:rsid w:val="00655F7C"/>
    <w:rsid w:val="00675A92"/>
    <w:rsid w:val="00676203"/>
    <w:rsid w:val="0068355C"/>
    <w:rsid w:val="00692059"/>
    <w:rsid w:val="006944C5"/>
    <w:rsid w:val="006A0D87"/>
    <w:rsid w:val="006A1D03"/>
    <w:rsid w:val="006C5000"/>
    <w:rsid w:val="006C6A58"/>
    <w:rsid w:val="006D0424"/>
    <w:rsid w:val="006E0339"/>
    <w:rsid w:val="006E6CBF"/>
    <w:rsid w:val="006F01D9"/>
    <w:rsid w:val="006F1E13"/>
    <w:rsid w:val="006F4892"/>
    <w:rsid w:val="007016D5"/>
    <w:rsid w:val="00701972"/>
    <w:rsid w:val="007075C0"/>
    <w:rsid w:val="007124C2"/>
    <w:rsid w:val="00721C1D"/>
    <w:rsid w:val="00721F76"/>
    <w:rsid w:val="0073007B"/>
    <w:rsid w:val="00735E6C"/>
    <w:rsid w:val="00746D19"/>
    <w:rsid w:val="00752D38"/>
    <w:rsid w:val="00772AFC"/>
    <w:rsid w:val="0077369E"/>
    <w:rsid w:val="007736C1"/>
    <w:rsid w:val="00775123"/>
    <w:rsid w:val="00782A6E"/>
    <w:rsid w:val="0078410B"/>
    <w:rsid w:val="00795DF0"/>
    <w:rsid w:val="007A4C86"/>
    <w:rsid w:val="007B0D5C"/>
    <w:rsid w:val="007B11CE"/>
    <w:rsid w:val="007B1B1E"/>
    <w:rsid w:val="007B399F"/>
    <w:rsid w:val="007C1941"/>
    <w:rsid w:val="007D00DD"/>
    <w:rsid w:val="007D4197"/>
    <w:rsid w:val="007D50B6"/>
    <w:rsid w:val="007E06B5"/>
    <w:rsid w:val="007E11CB"/>
    <w:rsid w:val="007E5EBB"/>
    <w:rsid w:val="007E7C90"/>
    <w:rsid w:val="00807240"/>
    <w:rsid w:val="0081002E"/>
    <w:rsid w:val="00810FCB"/>
    <w:rsid w:val="00811303"/>
    <w:rsid w:val="00811799"/>
    <w:rsid w:val="00811D46"/>
    <w:rsid w:val="00830B04"/>
    <w:rsid w:val="008322D9"/>
    <w:rsid w:val="0084552A"/>
    <w:rsid w:val="0084767C"/>
    <w:rsid w:val="0085181B"/>
    <w:rsid w:val="00851D68"/>
    <w:rsid w:val="008644D6"/>
    <w:rsid w:val="00871746"/>
    <w:rsid w:val="00873FDC"/>
    <w:rsid w:val="00887067"/>
    <w:rsid w:val="00894582"/>
    <w:rsid w:val="00894A61"/>
    <w:rsid w:val="00896DEC"/>
    <w:rsid w:val="0089756C"/>
    <w:rsid w:val="008A0BCC"/>
    <w:rsid w:val="008B112B"/>
    <w:rsid w:val="008B2307"/>
    <w:rsid w:val="008B461D"/>
    <w:rsid w:val="008B4D0D"/>
    <w:rsid w:val="008C1E24"/>
    <w:rsid w:val="008C5DBA"/>
    <w:rsid w:val="008D0459"/>
    <w:rsid w:val="008D5CD2"/>
    <w:rsid w:val="008E19AD"/>
    <w:rsid w:val="008F67C7"/>
    <w:rsid w:val="0090098E"/>
    <w:rsid w:val="00901E5B"/>
    <w:rsid w:val="00902A1B"/>
    <w:rsid w:val="00906183"/>
    <w:rsid w:val="0093474A"/>
    <w:rsid w:val="0095364E"/>
    <w:rsid w:val="00955B22"/>
    <w:rsid w:val="00962DA2"/>
    <w:rsid w:val="00963D6A"/>
    <w:rsid w:val="009647D5"/>
    <w:rsid w:val="0096778B"/>
    <w:rsid w:val="00975F3B"/>
    <w:rsid w:val="009A3E58"/>
    <w:rsid w:val="009A7ACF"/>
    <w:rsid w:val="009B15DB"/>
    <w:rsid w:val="009C062A"/>
    <w:rsid w:val="009D1586"/>
    <w:rsid w:val="009D44CC"/>
    <w:rsid w:val="009E485A"/>
    <w:rsid w:val="009F1037"/>
    <w:rsid w:val="00A04ADF"/>
    <w:rsid w:val="00A10C06"/>
    <w:rsid w:val="00A40896"/>
    <w:rsid w:val="00A4550F"/>
    <w:rsid w:val="00A61E46"/>
    <w:rsid w:val="00A63328"/>
    <w:rsid w:val="00A6532E"/>
    <w:rsid w:val="00A670C6"/>
    <w:rsid w:val="00A84EC0"/>
    <w:rsid w:val="00AA4AD4"/>
    <w:rsid w:val="00AB2E6B"/>
    <w:rsid w:val="00AB7F64"/>
    <w:rsid w:val="00AC3827"/>
    <w:rsid w:val="00AE37E7"/>
    <w:rsid w:val="00AE6F47"/>
    <w:rsid w:val="00B0629B"/>
    <w:rsid w:val="00B13C9B"/>
    <w:rsid w:val="00B20B2F"/>
    <w:rsid w:val="00B26ED9"/>
    <w:rsid w:val="00B31254"/>
    <w:rsid w:val="00B36243"/>
    <w:rsid w:val="00B362FF"/>
    <w:rsid w:val="00B50626"/>
    <w:rsid w:val="00B57EB6"/>
    <w:rsid w:val="00B60402"/>
    <w:rsid w:val="00B63F36"/>
    <w:rsid w:val="00B74645"/>
    <w:rsid w:val="00B74755"/>
    <w:rsid w:val="00B76B20"/>
    <w:rsid w:val="00B7756E"/>
    <w:rsid w:val="00B919CF"/>
    <w:rsid w:val="00BA133B"/>
    <w:rsid w:val="00BA2980"/>
    <w:rsid w:val="00BA4A2D"/>
    <w:rsid w:val="00BA4F8C"/>
    <w:rsid w:val="00BC18B1"/>
    <w:rsid w:val="00BD54E5"/>
    <w:rsid w:val="00BE242B"/>
    <w:rsid w:val="00BF5913"/>
    <w:rsid w:val="00BF73B6"/>
    <w:rsid w:val="00C01563"/>
    <w:rsid w:val="00C14876"/>
    <w:rsid w:val="00C15981"/>
    <w:rsid w:val="00C20B97"/>
    <w:rsid w:val="00C20F2E"/>
    <w:rsid w:val="00C21D3A"/>
    <w:rsid w:val="00C37454"/>
    <w:rsid w:val="00C413D8"/>
    <w:rsid w:val="00C42A8C"/>
    <w:rsid w:val="00C53775"/>
    <w:rsid w:val="00C70AD9"/>
    <w:rsid w:val="00C7117B"/>
    <w:rsid w:val="00C839A3"/>
    <w:rsid w:val="00C908FC"/>
    <w:rsid w:val="00C96B7F"/>
    <w:rsid w:val="00C97725"/>
    <w:rsid w:val="00CB547A"/>
    <w:rsid w:val="00CD470C"/>
    <w:rsid w:val="00CD4BAE"/>
    <w:rsid w:val="00CE7070"/>
    <w:rsid w:val="00CF1245"/>
    <w:rsid w:val="00CF4F4A"/>
    <w:rsid w:val="00D11ECC"/>
    <w:rsid w:val="00D1246A"/>
    <w:rsid w:val="00D263A9"/>
    <w:rsid w:val="00D33346"/>
    <w:rsid w:val="00D344BB"/>
    <w:rsid w:val="00D479E6"/>
    <w:rsid w:val="00D70709"/>
    <w:rsid w:val="00D77AFA"/>
    <w:rsid w:val="00D82F21"/>
    <w:rsid w:val="00D95A93"/>
    <w:rsid w:val="00DA12A9"/>
    <w:rsid w:val="00DA7736"/>
    <w:rsid w:val="00DB2D45"/>
    <w:rsid w:val="00DB48F9"/>
    <w:rsid w:val="00DC00C1"/>
    <w:rsid w:val="00DC1D70"/>
    <w:rsid w:val="00DC529A"/>
    <w:rsid w:val="00DD01F2"/>
    <w:rsid w:val="00DE04D3"/>
    <w:rsid w:val="00DE226B"/>
    <w:rsid w:val="00DE4970"/>
    <w:rsid w:val="00DE6831"/>
    <w:rsid w:val="00E04F88"/>
    <w:rsid w:val="00E12312"/>
    <w:rsid w:val="00E142C8"/>
    <w:rsid w:val="00E26F33"/>
    <w:rsid w:val="00E42B94"/>
    <w:rsid w:val="00E71A7B"/>
    <w:rsid w:val="00E75918"/>
    <w:rsid w:val="00E75F9D"/>
    <w:rsid w:val="00E8646B"/>
    <w:rsid w:val="00E9529D"/>
    <w:rsid w:val="00EA2973"/>
    <w:rsid w:val="00EA4D3C"/>
    <w:rsid w:val="00EB18A2"/>
    <w:rsid w:val="00EB340A"/>
    <w:rsid w:val="00EB61EE"/>
    <w:rsid w:val="00EC0DEB"/>
    <w:rsid w:val="00EC2450"/>
    <w:rsid w:val="00EC4DD8"/>
    <w:rsid w:val="00ED36AA"/>
    <w:rsid w:val="00ED6304"/>
    <w:rsid w:val="00EE0330"/>
    <w:rsid w:val="00F04F9E"/>
    <w:rsid w:val="00F12DFA"/>
    <w:rsid w:val="00F201E9"/>
    <w:rsid w:val="00F21E80"/>
    <w:rsid w:val="00F229AF"/>
    <w:rsid w:val="00F24533"/>
    <w:rsid w:val="00F30A59"/>
    <w:rsid w:val="00F31BF0"/>
    <w:rsid w:val="00F37411"/>
    <w:rsid w:val="00F47DA6"/>
    <w:rsid w:val="00F55D43"/>
    <w:rsid w:val="00F5746F"/>
    <w:rsid w:val="00F63DC1"/>
    <w:rsid w:val="00F648AB"/>
    <w:rsid w:val="00F7151E"/>
    <w:rsid w:val="00F95FC2"/>
    <w:rsid w:val="00FB33FA"/>
    <w:rsid w:val="00FB3E66"/>
    <w:rsid w:val="00FB6833"/>
    <w:rsid w:val="00FC5D55"/>
    <w:rsid w:val="00FD0C90"/>
    <w:rsid w:val="00FD1B12"/>
    <w:rsid w:val="00FD20C8"/>
    <w:rsid w:val="00FD210F"/>
    <w:rsid w:val="00FD45CA"/>
    <w:rsid w:val="00FE2053"/>
    <w:rsid w:val="00FF3D37"/>
    <w:rsid w:val="00FF5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C4058B"/>
  <w15:chartTrackingRefBased/>
  <w15:docId w15:val="{6095B3E3-C804-894D-9539-81916C8A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4C3BF9"/>
    <w:pPr>
      <w:keepNext/>
      <w:keepLines/>
      <w:spacing w:before="240" w:after="0" w:line="360" w:lineRule="auto"/>
      <w:ind w:firstLine="720"/>
      <w:jc w:val="center"/>
      <w:outlineLvl w:val="0"/>
    </w:pPr>
    <w:rPr>
      <w:rFonts w:ascii="Times New Roman" w:eastAsiaTheme="majorEastAsia"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BF9"/>
    <w:rPr>
      <w:rFonts w:ascii="Times New Roman" w:eastAsiaTheme="majorEastAsia" w:hAnsi="Times New Roman" w:cs="Times New Roman"/>
      <w:b/>
    </w:rPr>
  </w:style>
  <w:style w:type="character" w:styleId="Hyperlink">
    <w:name w:val="Hyperlink"/>
    <w:basedOn w:val="DefaultParagraphFont"/>
    <w:uiPriority w:val="99"/>
    <w:unhideWhenUsed/>
    <w:rsid w:val="00F37411"/>
    <w:rPr>
      <w:color w:val="0563C1" w:themeColor="hyperlink"/>
      <w:u w:val="single"/>
    </w:rPr>
  </w:style>
  <w:style w:type="character" w:styleId="UnresolvedMention">
    <w:name w:val="Unresolved Mention"/>
    <w:basedOn w:val="DefaultParagraphFont"/>
    <w:uiPriority w:val="99"/>
    <w:semiHidden/>
    <w:unhideWhenUsed/>
    <w:rsid w:val="00F37411"/>
    <w:rPr>
      <w:color w:val="605E5C"/>
      <w:shd w:val="clear" w:color="auto" w:fill="E1DFDD"/>
    </w:rPr>
  </w:style>
  <w:style w:type="paragraph" w:styleId="ListParagraph">
    <w:name w:val="List Paragraph"/>
    <w:basedOn w:val="Normal"/>
    <w:uiPriority w:val="34"/>
    <w:qFormat/>
    <w:rsid w:val="008D0459"/>
    <w:pPr>
      <w:spacing w:after="0"/>
      <w:ind w:left="720"/>
      <w:contextualSpacing/>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8D0459"/>
    <w:rPr>
      <w:color w:val="954F72" w:themeColor="followedHyperlink"/>
      <w:u w:val="single"/>
    </w:rPr>
  </w:style>
  <w:style w:type="paragraph" w:styleId="Footer">
    <w:name w:val="footer"/>
    <w:basedOn w:val="Normal"/>
    <w:link w:val="FooterChar"/>
    <w:uiPriority w:val="99"/>
    <w:unhideWhenUsed/>
    <w:rsid w:val="00025B35"/>
    <w:pPr>
      <w:tabs>
        <w:tab w:val="center" w:pos="4680"/>
        <w:tab w:val="right" w:pos="9360"/>
      </w:tabs>
      <w:spacing w:after="0"/>
    </w:pPr>
  </w:style>
  <w:style w:type="character" w:customStyle="1" w:styleId="FooterChar">
    <w:name w:val="Footer Char"/>
    <w:basedOn w:val="DefaultParagraphFont"/>
    <w:link w:val="Footer"/>
    <w:uiPriority w:val="99"/>
    <w:rsid w:val="00025B35"/>
  </w:style>
  <w:style w:type="paragraph" w:styleId="Header">
    <w:name w:val="header"/>
    <w:basedOn w:val="Normal"/>
    <w:link w:val="HeaderChar"/>
    <w:uiPriority w:val="99"/>
    <w:unhideWhenUsed/>
    <w:rsid w:val="00D82F21"/>
    <w:pPr>
      <w:tabs>
        <w:tab w:val="center" w:pos="4680"/>
        <w:tab w:val="right" w:pos="9360"/>
      </w:tabs>
      <w:spacing w:after="0"/>
    </w:pPr>
  </w:style>
  <w:style w:type="character" w:customStyle="1" w:styleId="HeaderChar">
    <w:name w:val="Header Char"/>
    <w:basedOn w:val="DefaultParagraphFont"/>
    <w:link w:val="Header"/>
    <w:uiPriority w:val="99"/>
    <w:rsid w:val="00D8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3016">
      <w:bodyDiv w:val="1"/>
      <w:marLeft w:val="0"/>
      <w:marRight w:val="0"/>
      <w:marTop w:val="0"/>
      <w:marBottom w:val="0"/>
      <w:divBdr>
        <w:top w:val="none" w:sz="0" w:space="0" w:color="auto"/>
        <w:left w:val="none" w:sz="0" w:space="0" w:color="auto"/>
        <w:bottom w:val="none" w:sz="0" w:space="0" w:color="auto"/>
        <w:right w:val="none" w:sz="0" w:space="0" w:color="auto"/>
      </w:divBdr>
      <w:divsChild>
        <w:div w:id="1245796321">
          <w:marLeft w:val="360"/>
          <w:marRight w:val="0"/>
          <w:marTop w:val="200"/>
          <w:marBottom w:val="0"/>
          <w:divBdr>
            <w:top w:val="none" w:sz="0" w:space="0" w:color="auto"/>
            <w:left w:val="none" w:sz="0" w:space="0" w:color="auto"/>
            <w:bottom w:val="none" w:sz="0" w:space="0" w:color="auto"/>
            <w:right w:val="none" w:sz="0" w:space="0" w:color="auto"/>
          </w:divBdr>
        </w:div>
      </w:divsChild>
    </w:div>
    <w:div w:id="302001517">
      <w:bodyDiv w:val="1"/>
      <w:marLeft w:val="0"/>
      <w:marRight w:val="0"/>
      <w:marTop w:val="0"/>
      <w:marBottom w:val="0"/>
      <w:divBdr>
        <w:top w:val="none" w:sz="0" w:space="0" w:color="auto"/>
        <w:left w:val="none" w:sz="0" w:space="0" w:color="auto"/>
        <w:bottom w:val="none" w:sz="0" w:space="0" w:color="auto"/>
        <w:right w:val="none" w:sz="0" w:space="0" w:color="auto"/>
      </w:divBdr>
      <w:divsChild>
        <w:div w:id="1258948409">
          <w:marLeft w:val="547"/>
          <w:marRight w:val="0"/>
          <w:marTop w:val="200"/>
          <w:marBottom w:val="0"/>
          <w:divBdr>
            <w:top w:val="none" w:sz="0" w:space="0" w:color="auto"/>
            <w:left w:val="none" w:sz="0" w:space="0" w:color="auto"/>
            <w:bottom w:val="none" w:sz="0" w:space="0" w:color="auto"/>
            <w:right w:val="none" w:sz="0" w:space="0" w:color="auto"/>
          </w:divBdr>
        </w:div>
      </w:divsChild>
    </w:div>
    <w:div w:id="453595073">
      <w:bodyDiv w:val="1"/>
      <w:marLeft w:val="0"/>
      <w:marRight w:val="0"/>
      <w:marTop w:val="0"/>
      <w:marBottom w:val="0"/>
      <w:divBdr>
        <w:top w:val="none" w:sz="0" w:space="0" w:color="auto"/>
        <w:left w:val="none" w:sz="0" w:space="0" w:color="auto"/>
        <w:bottom w:val="none" w:sz="0" w:space="0" w:color="auto"/>
        <w:right w:val="none" w:sz="0" w:space="0" w:color="auto"/>
      </w:divBdr>
      <w:divsChild>
        <w:div w:id="622226144">
          <w:marLeft w:val="547"/>
          <w:marRight w:val="0"/>
          <w:marTop w:val="0"/>
          <w:marBottom w:val="0"/>
          <w:divBdr>
            <w:top w:val="none" w:sz="0" w:space="0" w:color="auto"/>
            <w:left w:val="none" w:sz="0" w:space="0" w:color="auto"/>
            <w:bottom w:val="none" w:sz="0" w:space="0" w:color="auto"/>
            <w:right w:val="none" w:sz="0" w:space="0" w:color="auto"/>
          </w:divBdr>
        </w:div>
        <w:div w:id="1154375324">
          <w:marLeft w:val="547"/>
          <w:marRight w:val="0"/>
          <w:marTop w:val="0"/>
          <w:marBottom w:val="0"/>
          <w:divBdr>
            <w:top w:val="none" w:sz="0" w:space="0" w:color="auto"/>
            <w:left w:val="none" w:sz="0" w:space="0" w:color="auto"/>
            <w:bottom w:val="none" w:sz="0" w:space="0" w:color="auto"/>
            <w:right w:val="none" w:sz="0" w:space="0" w:color="auto"/>
          </w:divBdr>
        </w:div>
      </w:divsChild>
    </w:div>
    <w:div w:id="1909728508">
      <w:bodyDiv w:val="1"/>
      <w:marLeft w:val="0"/>
      <w:marRight w:val="0"/>
      <w:marTop w:val="0"/>
      <w:marBottom w:val="0"/>
      <w:divBdr>
        <w:top w:val="none" w:sz="0" w:space="0" w:color="auto"/>
        <w:left w:val="none" w:sz="0" w:space="0" w:color="auto"/>
        <w:bottom w:val="none" w:sz="0" w:space="0" w:color="auto"/>
        <w:right w:val="none" w:sz="0" w:space="0" w:color="auto"/>
      </w:divBdr>
      <w:divsChild>
        <w:div w:id="41196929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hs.gov/ohrp/regulations-and-policy/regulations/" TargetMode="Externa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hhs.gov/ohrp/about-ohrp/" TargetMode="External"/><Relationship Id="rId12" Type="http://schemas.openxmlformats.org/officeDocument/2006/relationships/diagramLayout" Target="diagrams/layout1.xml"/><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customXml" Target="../customXml/item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ustomXml" Target="../customXml/item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E36834-6756-4F29-9848-E7481DC1270B}" type="doc">
      <dgm:prSet loTypeId="urn:microsoft.com/office/officeart/2005/8/layout/vList2" loCatId="list" qsTypeId="urn:microsoft.com/office/officeart/2005/8/quickstyle/simple1" qsCatId="simple" csTypeId="urn:microsoft.com/office/officeart/2005/8/colors/colorful2" csCatId="colorful" phldr="1"/>
      <dgm:spPr/>
      <dgm:t>
        <a:bodyPr/>
        <a:lstStyle/>
        <a:p>
          <a:endParaRPr lang="en-US"/>
        </a:p>
      </dgm:t>
    </dgm:pt>
    <dgm:pt modelId="{5E26A569-5435-4190-AE83-F740C4F31577}">
      <dgm:prSet/>
      <dgm:spPr/>
      <dgm:t>
        <a:bodyPr/>
        <a:lstStyle/>
        <a:p>
          <a:r>
            <a:rPr lang="en-US" b="1" dirty="0"/>
            <a:t>Category 1</a:t>
          </a:r>
        </a:p>
        <a:p>
          <a:r>
            <a:rPr lang="en-US" b="1" dirty="0"/>
            <a:t> Educational Practices</a:t>
          </a:r>
          <a:endParaRPr lang="en-US" dirty="0"/>
        </a:p>
      </dgm:t>
    </dgm:pt>
    <dgm:pt modelId="{97EC4FEA-5903-4530-888E-D8ED5CED715B}" type="parTrans" cxnId="{B09AEC9F-7329-4D6F-B61D-2836EB8BFEE7}">
      <dgm:prSet/>
      <dgm:spPr/>
      <dgm:t>
        <a:bodyPr/>
        <a:lstStyle/>
        <a:p>
          <a:endParaRPr lang="en-US"/>
        </a:p>
      </dgm:t>
    </dgm:pt>
    <dgm:pt modelId="{72435947-B6EE-4414-8E9D-91045A121118}" type="sibTrans" cxnId="{B09AEC9F-7329-4D6F-B61D-2836EB8BFEE7}">
      <dgm:prSet/>
      <dgm:spPr/>
      <dgm:t>
        <a:bodyPr/>
        <a:lstStyle/>
        <a:p>
          <a:endParaRPr lang="en-US"/>
        </a:p>
      </dgm:t>
    </dgm:pt>
    <dgm:pt modelId="{E11EF2FD-F81B-4EB9-ACB3-D3AEF4ED2686}">
      <dgm:prSet/>
      <dgm:spPr/>
      <dgm:t>
        <a:bodyPr/>
        <a:lstStyle/>
        <a:p>
          <a:r>
            <a:rPr lang="en-US" b="1" dirty="0"/>
            <a:t>Category 2</a:t>
          </a:r>
        </a:p>
        <a:p>
          <a:r>
            <a:rPr lang="en-US" b="1" dirty="0"/>
            <a:t>Surveys, interviews, educational tests, observations</a:t>
          </a:r>
          <a:endParaRPr lang="en-US" dirty="0"/>
        </a:p>
      </dgm:t>
    </dgm:pt>
    <dgm:pt modelId="{B9FDFDC9-3D44-4C2C-A5ED-5CF43415691A}" type="parTrans" cxnId="{0ADF0DC4-B5AA-4807-B5BA-910F30D8C2F6}">
      <dgm:prSet/>
      <dgm:spPr/>
      <dgm:t>
        <a:bodyPr/>
        <a:lstStyle/>
        <a:p>
          <a:endParaRPr lang="en-US"/>
        </a:p>
      </dgm:t>
    </dgm:pt>
    <dgm:pt modelId="{64046816-FAD9-4893-AD9A-650CFD2272B6}" type="sibTrans" cxnId="{0ADF0DC4-B5AA-4807-B5BA-910F30D8C2F6}">
      <dgm:prSet/>
      <dgm:spPr/>
      <dgm:t>
        <a:bodyPr/>
        <a:lstStyle/>
        <a:p>
          <a:endParaRPr lang="en-US"/>
        </a:p>
      </dgm:t>
    </dgm:pt>
    <dgm:pt modelId="{82D61052-C692-491F-A310-09393D31BE85}">
      <dgm:prSet/>
      <dgm:spPr/>
      <dgm:t>
        <a:bodyPr/>
        <a:lstStyle/>
        <a:p>
          <a:r>
            <a:rPr lang="en-US" b="1" dirty="0"/>
            <a:t>Category 3 </a:t>
          </a:r>
        </a:p>
        <a:p>
          <a:r>
            <a:rPr lang="en-US" b="1" dirty="0"/>
            <a:t>Benign behavioral interventions</a:t>
          </a:r>
          <a:endParaRPr lang="en-US" dirty="0"/>
        </a:p>
      </dgm:t>
    </dgm:pt>
    <dgm:pt modelId="{283B7EDD-AFB1-4B8A-8DDA-62866B44EFB7}" type="parTrans" cxnId="{D32A2501-0F89-467C-AC72-1A3596C6BB5C}">
      <dgm:prSet/>
      <dgm:spPr/>
      <dgm:t>
        <a:bodyPr/>
        <a:lstStyle/>
        <a:p>
          <a:endParaRPr lang="en-US"/>
        </a:p>
      </dgm:t>
    </dgm:pt>
    <dgm:pt modelId="{D74A864A-BDD2-4FE5-96FC-5DB7B7979AD8}" type="sibTrans" cxnId="{D32A2501-0F89-467C-AC72-1A3596C6BB5C}">
      <dgm:prSet/>
      <dgm:spPr/>
      <dgm:t>
        <a:bodyPr/>
        <a:lstStyle/>
        <a:p>
          <a:endParaRPr lang="en-US"/>
        </a:p>
      </dgm:t>
    </dgm:pt>
    <dgm:pt modelId="{5C5C643E-C724-4D2D-9FAF-4D265CD82742}">
      <dgm:prSet/>
      <dgm:spPr/>
      <dgm:t>
        <a:bodyPr/>
        <a:lstStyle/>
        <a:p>
          <a:r>
            <a:rPr lang="en-US" b="1" dirty="0"/>
            <a:t>Category 4 </a:t>
          </a:r>
        </a:p>
        <a:p>
          <a:r>
            <a:rPr lang="en-US" b="1" dirty="0"/>
            <a:t>Secondary research of deidentified existing data</a:t>
          </a:r>
          <a:endParaRPr lang="en-US" dirty="0"/>
        </a:p>
      </dgm:t>
    </dgm:pt>
    <dgm:pt modelId="{CDC20EBA-9A91-4D56-A60B-E45FB6948FA9}" type="parTrans" cxnId="{8F99FFA6-90A0-437A-83A9-20004E55E7BD}">
      <dgm:prSet/>
      <dgm:spPr/>
      <dgm:t>
        <a:bodyPr/>
        <a:lstStyle/>
        <a:p>
          <a:endParaRPr lang="en-US"/>
        </a:p>
      </dgm:t>
    </dgm:pt>
    <dgm:pt modelId="{B9380CA4-0110-437F-81E1-7AFFB03877CD}" type="sibTrans" cxnId="{8F99FFA6-90A0-437A-83A9-20004E55E7BD}">
      <dgm:prSet/>
      <dgm:spPr/>
      <dgm:t>
        <a:bodyPr/>
        <a:lstStyle/>
        <a:p>
          <a:endParaRPr lang="en-US"/>
        </a:p>
      </dgm:t>
    </dgm:pt>
    <dgm:pt modelId="{B1D45F1B-B4B4-454B-9481-4F57A1CF3A3E}">
      <dgm:prSet/>
      <dgm:spPr/>
      <dgm:t>
        <a:bodyPr/>
        <a:lstStyle/>
        <a:p>
          <a:r>
            <a:rPr lang="en-US" b="1" dirty="0"/>
            <a:t>Category 5 </a:t>
          </a:r>
        </a:p>
        <a:p>
          <a:r>
            <a:rPr lang="en-US" b="1" i="0" dirty="0"/>
            <a:t>Public benefit or service program </a:t>
          </a:r>
          <a:endParaRPr lang="en-US" dirty="0"/>
        </a:p>
      </dgm:t>
    </dgm:pt>
    <dgm:pt modelId="{863354EB-DE7C-45BF-90AA-D263191568E9}" type="parTrans" cxnId="{8929E16E-11C5-451B-801E-B94026A76B0B}">
      <dgm:prSet/>
      <dgm:spPr/>
      <dgm:t>
        <a:bodyPr/>
        <a:lstStyle/>
        <a:p>
          <a:endParaRPr lang="en-US"/>
        </a:p>
      </dgm:t>
    </dgm:pt>
    <dgm:pt modelId="{398EA7EB-DF31-409D-9478-E4AE1521AD4B}" type="sibTrans" cxnId="{8929E16E-11C5-451B-801E-B94026A76B0B}">
      <dgm:prSet/>
      <dgm:spPr/>
      <dgm:t>
        <a:bodyPr/>
        <a:lstStyle/>
        <a:p>
          <a:endParaRPr lang="en-US"/>
        </a:p>
      </dgm:t>
    </dgm:pt>
    <dgm:pt modelId="{039E9B21-FFB1-4604-B298-7D6C8A6902D7}">
      <dgm:prSet/>
      <dgm:spPr/>
      <dgm:t>
        <a:bodyPr/>
        <a:lstStyle/>
        <a:p>
          <a:r>
            <a:rPr lang="en-US" b="1" dirty="0"/>
            <a:t>Category 6</a:t>
          </a:r>
        </a:p>
        <a:p>
          <a:r>
            <a:rPr lang="en-US" b="1" dirty="0"/>
            <a:t> Taste and food quality evaluation and consumer acceptance </a:t>
          </a:r>
          <a:endParaRPr lang="en-US" dirty="0"/>
        </a:p>
      </dgm:t>
    </dgm:pt>
    <dgm:pt modelId="{4108297B-DDD3-4A75-BB4F-B3CBF45A3E82}" type="parTrans" cxnId="{C57AA731-2715-4616-8B00-FCE5EACCBC22}">
      <dgm:prSet/>
      <dgm:spPr/>
      <dgm:t>
        <a:bodyPr/>
        <a:lstStyle/>
        <a:p>
          <a:endParaRPr lang="en-US"/>
        </a:p>
      </dgm:t>
    </dgm:pt>
    <dgm:pt modelId="{694B7B58-50B9-4E1A-A1AB-B38DC446270A}" type="sibTrans" cxnId="{C57AA731-2715-4616-8B00-FCE5EACCBC22}">
      <dgm:prSet/>
      <dgm:spPr/>
      <dgm:t>
        <a:bodyPr/>
        <a:lstStyle/>
        <a:p>
          <a:endParaRPr lang="en-US"/>
        </a:p>
      </dgm:t>
    </dgm:pt>
    <dgm:pt modelId="{65BD0EFD-4E2D-4AC6-8145-1E2F305D0560}">
      <dgm:prSet/>
      <dgm:spPr/>
      <dgm:t>
        <a:bodyPr/>
        <a:lstStyle/>
        <a:p>
          <a:r>
            <a:rPr lang="en-US" b="1" dirty="0"/>
            <a:t>Categories 7 &amp; 8 Secondary research requiring broad consent</a:t>
          </a:r>
          <a:endParaRPr lang="en-US" dirty="0"/>
        </a:p>
      </dgm:t>
    </dgm:pt>
    <dgm:pt modelId="{1D69A6EB-4B1B-4C2A-BAAE-160E0D72170A}" type="parTrans" cxnId="{B6C3BFE3-6567-470C-8460-0A463A760C88}">
      <dgm:prSet/>
      <dgm:spPr/>
      <dgm:t>
        <a:bodyPr/>
        <a:lstStyle/>
        <a:p>
          <a:endParaRPr lang="en-US"/>
        </a:p>
      </dgm:t>
    </dgm:pt>
    <dgm:pt modelId="{7F7B4079-7AB2-49DE-A6F7-44AAD4330F0A}" type="sibTrans" cxnId="{B6C3BFE3-6567-470C-8460-0A463A760C88}">
      <dgm:prSet/>
      <dgm:spPr/>
      <dgm:t>
        <a:bodyPr/>
        <a:lstStyle/>
        <a:p>
          <a:endParaRPr lang="en-US"/>
        </a:p>
      </dgm:t>
    </dgm:pt>
    <dgm:pt modelId="{3D5CFC9F-6408-8C49-9B4A-F27FA3E1392D}" type="pres">
      <dgm:prSet presAssocID="{70E36834-6756-4F29-9848-E7481DC1270B}" presName="linear" presStyleCnt="0">
        <dgm:presLayoutVars>
          <dgm:animLvl val="lvl"/>
          <dgm:resizeHandles val="exact"/>
        </dgm:presLayoutVars>
      </dgm:prSet>
      <dgm:spPr/>
    </dgm:pt>
    <dgm:pt modelId="{22D52183-8398-B54F-8485-DAA9D9275CD9}" type="pres">
      <dgm:prSet presAssocID="{5E26A569-5435-4190-AE83-F740C4F31577}" presName="parentText" presStyleLbl="node1" presStyleIdx="0" presStyleCnt="7">
        <dgm:presLayoutVars>
          <dgm:chMax val="0"/>
          <dgm:bulletEnabled val="1"/>
        </dgm:presLayoutVars>
      </dgm:prSet>
      <dgm:spPr/>
    </dgm:pt>
    <dgm:pt modelId="{364CA5C6-43F0-7141-A1E0-1345F0D021A6}" type="pres">
      <dgm:prSet presAssocID="{72435947-B6EE-4414-8E9D-91045A121118}" presName="spacer" presStyleCnt="0"/>
      <dgm:spPr/>
    </dgm:pt>
    <dgm:pt modelId="{709F4AEB-BD7A-3C47-9C6A-AF72EEE36F95}" type="pres">
      <dgm:prSet presAssocID="{E11EF2FD-F81B-4EB9-ACB3-D3AEF4ED2686}" presName="parentText" presStyleLbl="node1" presStyleIdx="1" presStyleCnt="7">
        <dgm:presLayoutVars>
          <dgm:chMax val="0"/>
          <dgm:bulletEnabled val="1"/>
        </dgm:presLayoutVars>
      </dgm:prSet>
      <dgm:spPr/>
    </dgm:pt>
    <dgm:pt modelId="{E68DA996-919A-314D-951A-30AFB8D1C050}" type="pres">
      <dgm:prSet presAssocID="{64046816-FAD9-4893-AD9A-650CFD2272B6}" presName="spacer" presStyleCnt="0"/>
      <dgm:spPr/>
    </dgm:pt>
    <dgm:pt modelId="{99B8D1C0-6A4D-6B49-A71E-E04A65681688}" type="pres">
      <dgm:prSet presAssocID="{82D61052-C692-491F-A310-09393D31BE85}" presName="parentText" presStyleLbl="node1" presStyleIdx="2" presStyleCnt="7">
        <dgm:presLayoutVars>
          <dgm:chMax val="0"/>
          <dgm:bulletEnabled val="1"/>
        </dgm:presLayoutVars>
      </dgm:prSet>
      <dgm:spPr/>
    </dgm:pt>
    <dgm:pt modelId="{BFDB303D-DFF1-F64E-B0F8-C51DCF986DFA}" type="pres">
      <dgm:prSet presAssocID="{D74A864A-BDD2-4FE5-96FC-5DB7B7979AD8}" presName="spacer" presStyleCnt="0"/>
      <dgm:spPr/>
    </dgm:pt>
    <dgm:pt modelId="{F0A08329-EBF2-E944-885D-91538A535145}" type="pres">
      <dgm:prSet presAssocID="{5C5C643E-C724-4D2D-9FAF-4D265CD82742}" presName="parentText" presStyleLbl="node1" presStyleIdx="3" presStyleCnt="7">
        <dgm:presLayoutVars>
          <dgm:chMax val="0"/>
          <dgm:bulletEnabled val="1"/>
        </dgm:presLayoutVars>
      </dgm:prSet>
      <dgm:spPr/>
    </dgm:pt>
    <dgm:pt modelId="{3D94E03D-606D-6C41-8D43-ED5A611AC51A}" type="pres">
      <dgm:prSet presAssocID="{B9380CA4-0110-437F-81E1-7AFFB03877CD}" presName="spacer" presStyleCnt="0"/>
      <dgm:spPr/>
    </dgm:pt>
    <dgm:pt modelId="{FD460623-DA11-AF4B-8D9B-C806E2AF730B}" type="pres">
      <dgm:prSet presAssocID="{B1D45F1B-B4B4-454B-9481-4F57A1CF3A3E}" presName="parentText" presStyleLbl="node1" presStyleIdx="4" presStyleCnt="7">
        <dgm:presLayoutVars>
          <dgm:chMax val="0"/>
          <dgm:bulletEnabled val="1"/>
        </dgm:presLayoutVars>
      </dgm:prSet>
      <dgm:spPr/>
    </dgm:pt>
    <dgm:pt modelId="{794E5C26-1353-6048-AF98-8A5652E9A130}" type="pres">
      <dgm:prSet presAssocID="{398EA7EB-DF31-409D-9478-E4AE1521AD4B}" presName="spacer" presStyleCnt="0"/>
      <dgm:spPr/>
    </dgm:pt>
    <dgm:pt modelId="{A7F26147-4E57-8A40-8622-E47507B54BDD}" type="pres">
      <dgm:prSet presAssocID="{039E9B21-FFB1-4604-B298-7D6C8A6902D7}" presName="parentText" presStyleLbl="node1" presStyleIdx="5" presStyleCnt="7">
        <dgm:presLayoutVars>
          <dgm:chMax val="0"/>
          <dgm:bulletEnabled val="1"/>
        </dgm:presLayoutVars>
      </dgm:prSet>
      <dgm:spPr/>
    </dgm:pt>
    <dgm:pt modelId="{766C6667-A540-534B-AF81-40F02516C0C6}" type="pres">
      <dgm:prSet presAssocID="{694B7B58-50B9-4E1A-A1AB-B38DC446270A}" presName="spacer" presStyleCnt="0"/>
      <dgm:spPr/>
    </dgm:pt>
    <dgm:pt modelId="{B2B356F5-9E0D-A541-9984-0A636261A69C}" type="pres">
      <dgm:prSet presAssocID="{65BD0EFD-4E2D-4AC6-8145-1E2F305D0560}" presName="parentText" presStyleLbl="node1" presStyleIdx="6" presStyleCnt="7">
        <dgm:presLayoutVars>
          <dgm:chMax val="0"/>
          <dgm:bulletEnabled val="1"/>
        </dgm:presLayoutVars>
      </dgm:prSet>
      <dgm:spPr/>
    </dgm:pt>
  </dgm:ptLst>
  <dgm:cxnLst>
    <dgm:cxn modelId="{D32A2501-0F89-467C-AC72-1A3596C6BB5C}" srcId="{70E36834-6756-4F29-9848-E7481DC1270B}" destId="{82D61052-C692-491F-A310-09393D31BE85}" srcOrd="2" destOrd="0" parTransId="{283B7EDD-AFB1-4B8A-8DDA-62866B44EFB7}" sibTransId="{D74A864A-BDD2-4FE5-96FC-5DB7B7979AD8}"/>
    <dgm:cxn modelId="{5D42FC06-524E-5E43-AFE1-B88947664EF5}" type="presOf" srcId="{82D61052-C692-491F-A310-09393D31BE85}" destId="{99B8D1C0-6A4D-6B49-A71E-E04A65681688}" srcOrd="0" destOrd="0" presId="urn:microsoft.com/office/officeart/2005/8/layout/vList2"/>
    <dgm:cxn modelId="{D7847326-A817-4D4E-AE05-D22E335B41AC}" type="presOf" srcId="{70E36834-6756-4F29-9848-E7481DC1270B}" destId="{3D5CFC9F-6408-8C49-9B4A-F27FA3E1392D}" srcOrd="0" destOrd="0" presId="urn:microsoft.com/office/officeart/2005/8/layout/vList2"/>
    <dgm:cxn modelId="{C57AA731-2715-4616-8B00-FCE5EACCBC22}" srcId="{70E36834-6756-4F29-9848-E7481DC1270B}" destId="{039E9B21-FFB1-4604-B298-7D6C8A6902D7}" srcOrd="5" destOrd="0" parTransId="{4108297B-DDD3-4A75-BB4F-B3CBF45A3E82}" sibTransId="{694B7B58-50B9-4E1A-A1AB-B38DC446270A}"/>
    <dgm:cxn modelId="{38D0E05F-E013-CD42-8344-9EE2C90EF7BC}" type="presOf" srcId="{B1D45F1B-B4B4-454B-9481-4F57A1CF3A3E}" destId="{FD460623-DA11-AF4B-8D9B-C806E2AF730B}" srcOrd="0" destOrd="0" presId="urn:microsoft.com/office/officeart/2005/8/layout/vList2"/>
    <dgm:cxn modelId="{8929E16E-11C5-451B-801E-B94026A76B0B}" srcId="{70E36834-6756-4F29-9848-E7481DC1270B}" destId="{B1D45F1B-B4B4-454B-9481-4F57A1CF3A3E}" srcOrd="4" destOrd="0" parTransId="{863354EB-DE7C-45BF-90AA-D263191568E9}" sibTransId="{398EA7EB-DF31-409D-9478-E4AE1521AD4B}"/>
    <dgm:cxn modelId="{B1D6B972-DF2B-DC4C-AA34-F749C8C8ABBB}" type="presOf" srcId="{E11EF2FD-F81B-4EB9-ACB3-D3AEF4ED2686}" destId="{709F4AEB-BD7A-3C47-9C6A-AF72EEE36F95}" srcOrd="0" destOrd="0" presId="urn:microsoft.com/office/officeart/2005/8/layout/vList2"/>
    <dgm:cxn modelId="{7E506082-306D-C04A-BBFF-4E68FD0A4595}" type="presOf" srcId="{65BD0EFD-4E2D-4AC6-8145-1E2F305D0560}" destId="{B2B356F5-9E0D-A541-9984-0A636261A69C}" srcOrd="0" destOrd="0" presId="urn:microsoft.com/office/officeart/2005/8/layout/vList2"/>
    <dgm:cxn modelId="{4B47C086-32B9-824F-82F5-58157E03792A}" type="presOf" srcId="{5C5C643E-C724-4D2D-9FAF-4D265CD82742}" destId="{F0A08329-EBF2-E944-885D-91538A535145}" srcOrd="0" destOrd="0" presId="urn:microsoft.com/office/officeart/2005/8/layout/vList2"/>
    <dgm:cxn modelId="{B5D84989-EFF8-CB44-8355-225334B8737A}" type="presOf" srcId="{039E9B21-FFB1-4604-B298-7D6C8A6902D7}" destId="{A7F26147-4E57-8A40-8622-E47507B54BDD}" srcOrd="0" destOrd="0" presId="urn:microsoft.com/office/officeart/2005/8/layout/vList2"/>
    <dgm:cxn modelId="{99697A8D-2796-0545-AADA-8AB79E9112AD}" type="presOf" srcId="{5E26A569-5435-4190-AE83-F740C4F31577}" destId="{22D52183-8398-B54F-8485-DAA9D9275CD9}" srcOrd="0" destOrd="0" presId="urn:microsoft.com/office/officeart/2005/8/layout/vList2"/>
    <dgm:cxn modelId="{B09AEC9F-7329-4D6F-B61D-2836EB8BFEE7}" srcId="{70E36834-6756-4F29-9848-E7481DC1270B}" destId="{5E26A569-5435-4190-AE83-F740C4F31577}" srcOrd="0" destOrd="0" parTransId="{97EC4FEA-5903-4530-888E-D8ED5CED715B}" sibTransId="{72435947-B6EE-4414-8E9D-91045A121118}"/>
    <dgm:cxn modelId="{8F99FFA6-90A0-437A-83A9-20004E55E7BD}" srcId="{70E36834-6756-4F29-9848-E7481DC1270B}" destId="{5C5C643E-C724-4D2D-9FAF-4D265CD82742}" srcOrd="3" destOrd="0" parTransId="{CDC20EBA-9A91-4D56-A60B-E45FB6948FA9}" sibTransId="{B9380CA4-0110-437F-81E1-7AFFB03877CD}"/>
    <dgm:cxn modelId="{0ADF0DC4-B5AA-4807-B5BA-910F30D8C2F6}" srcId="{70E36834-6756-4F29-9848-E7481DC1270B}" destId="{E11EF2FD-F81B-4EB9-ACB3-D3AEF4ED2686}" srcOrd="1" destOrd="0" parTransId="{B9FDFDC9-3D44-4C2C-A5ED-5CF43415691A}" sibTransId="{64046816-FAD9-4893-AD9A-650CFD2272B6}"/>
    <dgm:cxn modelId="{B6C3BFE3-6567-470C-8460-0A463A760C88}" srcId="{70E36834-6756-4F29-9848-E7481DC1270B}" destId="{65BD0EFD-4E2D-4AC6-8145-1E2F305D0560}" srcOrd="6" destOrd="0" parTransId="{1D69A6EB-4B1B-4C2A-BAAE-160E0D72170A}" sibTransId="{7F7B4079-7AB2-49DE-A6F7-44AAD4330F0A}"/>
    <dgm:cxn modelId="{2399A84A-B0E8-7C45-808E-29BA76B01C37}" type="presParOf" srcId="{3D5CFC9F-6408-8C49-9B4A-F27FA3E1392D}" destId="{22D52183-8398-B54F-8485-DAA9D9275CD9}" srcOrd="0" destOrd="0" presId="urn:microsoft.com/office/officeart/2005/8/layout/vList2"/>
    <dgm:cxn modelId="{137C6448-BAC8-1C4D-8EC3-121D731B7CF5}" type="presParOf" srcId="{3D5CFC9F-6408-8C49-9B4A-F27FA3E1392D}" destId="{364CA5C6-43F0-7141-A1E0-1345F0D021A6}" srcOrd="1" destOrd="0" presId="urn:microsoft.com/office/officeart/2005/8/layout/vList2"/>
    <dgm:cxn modelId="{1FC0E09F-7FDE-E143-9AE1-EE0B6A1D268C}" type="presParOf" srcId="{3D5CFC9F-6408-8C49-9B4A-F27FA3E1392D}" destId="{709F4AEB-BD7A-3C47-9C6A-AF72EEE36F95}" srcOrd="2" destOrd="0" presId="urn:microsoft.com/office/officeart/2005/8/layout/vList2"/>
    <dgm:cxn modelId="{8FBB6743-52B6-4742-A20F-260CDE857EAA}" type="presParOf" srcId="{3D5CFC9F-6408-8C49-9B4A-F27FA3E1392D}" destId="{E68DA996-919A-314D-951A-30AFB8D1C050}" srcOrd="3" destOrd="0" presId="urn:microsoft.com/office/officeart/2005/8/layout/vList2"/>
    <dgm:cxn modelId="{228BE0A7-96D7-1347-9ED9-77991084E971}" type="presParOf" srcId="{3D5CFC9F-6408-8C49-9B4A-F27FA3E1392D}" destId="{99B8D1C0-6A4D-6B49-A71E-E04A65681688}" srcOrd="4" destOrd="0" presId="urn:microsoft.com/office/officeart/2005/8/layout/vList2"/>
    <dgm:cxn modelId="{64D180C4-E919-8946-802F-14FC5F4F2917}" type="presParOf" srcId="{3D5CFC9F-6408-8C49-9B4A-F27FA3E1392D}" destId="{BFDB303D-DFF1-F64E-B0F8-C51DCF986DFA}" srcOrd="5" destOrd="0" presId="urn:microsoft.com/office/officeart/2005/8/layout/vList2"/>
    <dgm:cxn modelId="{13ECAA5E-500D-564D-BE79-053E1180EFEE}" type="presParOf" srcId="{3D5CFC9F-6408-8C49-9B4A-F27FA3E1392D}" destId="{F0A08329-EBF2-E944-885D-91538A535145}" srcOrd="6" destOrd="0" presId="urn:microsoft.com/office/officeart/2005/8/layout/vList2"/>
    <dgm:cxn modelId="{60B1898B-2395-FA45-BA6D-61CE8195D7E9}" type="presParOf" srcId="{3D5CFC9F-6408-8C49-9B4A-F27FA3E1392D}" destId="{3D94E03D-606D-6C41-8D43-ED5A611AC51A}" srcOrd="7" destOrd="0" presId="urn:microsoft.com/office/officeart/2005/8/layout/vList2"/>
    <dgm:cxn modelId="{6E19835D-E773-254F-939F-4C6051D016F5}" type="presParOf" srcId="{3D5CFC9F-6408-8C49-9B4A-F27FA3E1392D}" destId="{FD460623-DA11-AF4B-8D9B-C806E2AF730B}" srcOrd="8" destOrd="0" presId="urn:microsoft.com/office/officeart/2005/8/layout/vList2"/>
    <dgm:cxn modelId="{473025E3-322E-834C-A28E-70B709783EED}" type="presParOf" srcId="{3D5CFC9F-6408-8C49-9B4A-F27FA3E1392D}" destId="{794E5C26-1353-6048-AF98-8A5652E9A130}" srcOrd="9" destOrd="0" presId="urn:microsoft.com/office/officeart/2005/8/layout/vList2"/>
    <dgm:cxn modelId="{6C61EB0A-C805-9246-8672-701A94AEA59C}" type="presParOf" srcId="{3D5CFC9F-6408-8C49-9B4A-F27FA3E1392D}" destId="{A7F26147-4E57-8A40-8622-E47507B54BDD}" srcOrd="10" destOrd="0" presId="urn:microsoft.com/office/officeart/2005/8/layout/vList2"/>
    <dgm:cxn modelId="{5717A1DD-BF9B-D34E-9716-F139D86B67D7}" type="presParOf" srcId="{3D5CFC9F-6408-8C49-9B4A-F27FA3E1392D}" destId="{766C6667-A540-534B-AF81-40F02516C0C6}" srcOrd="11" destOrd="0" presId="urn:microsoft.com/office/officeart/2005/8/layout/vList2"/>
    <dgm:cxn modelId="{78C1B376-C11B-924F-849F-A20222A1464A}" type="presParOf" srcId="{3D5CFC9F-6408-8C49-9B4A-F27FA3E1392D}" destId="{B2B356F5-9E0D-A541-9984-0A636261A69C}" srcOrd="12"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D52183-8398-B54F-8485-DAA9D9275CD9}">
      <dsp:nvSpPr>
        <dsp:cNvPr id="0" name=""/>
        <dsp:cNvSpPr/>
      </dsp:nvSpPr>
      <dsp:spPr>
        <a:xfrm>
          <a:off x="0" y="112913"/>
          <a:ext cx="5084071" cy="31940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dirty="0"/>
            <a:t>Category 1</a:t>
          </a:r>
        </a:p>
        <a:p>
          <a:pPr marL="0" lvl="0" indent="0" algn="l" defTabSz="311150">
            <a:lnSpc>
              <a:spcPct val="90000"/>
            </a:lnSpc>
            <a:spcBef>
              <a:spcPct val="0"/>
            </a:spcBef>
            <a:spcAft>
              <a:spcPct val="35000"/>
            </a:spcAft>
            <a:buNone/>
          </a:pPr>
          <a:r>
            <a:rPr lang="en-US" sz="700" b="1" kern="1200" dirty="0"/>
            <a:t> Educational Practices</a:t>
          </a:r>
          <a:endParaRPr lang="en-US" sz="700" kern="1200" dirty="0"/>
        </a:p>
      </dsp:txBody>
      <dsp:txXfrm>
        <a:off x="15592" y="128505"/>
        <a:ext cx="5052887" cy="288225"/>
      </dsp:txXfrm>
    </dsp:sp>
    <dsp:sp modelId="{709F4AEB-BD7A-3C47-9C6A-AF72EEE36F95}">
      <dsp:nvSpPr>
        <dsp:cNvPr id="0" name=""/>
        <dsp:cNvSpPr/>
      </dsp:nvSpPr>
      <dsp:spPr>
        <a:xfrm>
          <a:off x="0" y="452483"/>
          <a:ext cx="5084071" cy="319409"/>
        </a:xfrm>
        <a:prstGeom prst="roundRect">
          <a:avLst/>
        </a:prstGeom>
        <a:solidFill>
          <a:schemeClr val="accent2">
            <a:hueOff val="-242561"/>
            <a:satOff val="-13988"/>
            <a:lumOff val="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dirty="0"/>
            <a:t>Category 2</a:t>
          </a:r>
        </a:p>
        <a:p>
          <a:pPr marL="0" lvl="0" indent="0" algn="l" defTabSz="311150">
            <a:lnSpc>
              <a:spcPct val="90000"/>
            </a:lnSpc>
            <a:spcBef>
              <a:spcPct val="0"/>
            </a:spcBef>
            <a:spcAft>
              <a:spcPct val="35000"/>
            </a:spcAft>
            <a:buNone/>
          </a:pPr>
          <a:r>
            <a:rPr lang="en-US" sz="700" b="1" kern="1200" dirty="0"/>
            <a:t>Surveys, interviews, educational tests, observations</a:t>
          </a:r>
          <a:endParaRPr lang="en-US" sz="700" kern="1200" dirty="0"/>
        </a:p>
      </dsp:txBody>
      <dsp:txXfrm>
        <a:off x="15592" y="468075"/>
        <a:ext cx="5052887" cy="288225"/>
      </dsp:txXfrm>
    </dsp:sp>
    <dsp:sp modelId="{99B8D1C0-6A4D-6B49-A71E-E04A65681688}">
      <dsp:nvSpPr>
        <dsp:cNvPr id="0" name=""/>
        <dsp:cNvSpPr/>
      </dsp:nvSpPr>
      <dsp:spPr>
        <a:xfrm>
          <a:off x="0" y="792053"/>
          <a:ext cx="5084071" cy="319409"/>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dirty="0"/>
            <a:t>Category 3 </a:t>
          </a:r>
        </a:p>
        <a:p>
          <a:pPr marL="0" lvl="0" indent="0" algn="l" defTabSz="311150">
            <a:lnSpc>
              <a:spcPct val="90000"/>
            </a:lnSpc>
            <a:spcBef>
              <a:spcPct val="0"/>
            </a:spcBef>
            <a:spcAft>
              <a:spcPct val="35000"/>
            </a:spcAft>
            <a:buNone/>
          </a:pPr>
          <a:r>
            <a:rPr lang="en-US" sz="700" b="1" kern="1200" dirty="0"/>
            <a:t>Benign behavioral interventions</a:t>
          </a:r>
          <a:endParaRPr lang="en-US" sz="700" kern="1200" dirty="0"/>
        </a:p>
      </dsp:txBody>
      <dsp:txXfrm>
        <a:off x="15592" y="807645"/>
        <a:ext cx="5052887" cy="288225"/>
      </dsp:txXfrm>
    </dsp:sp>
    <dsp:sp modelId="{F0A08329-EBF2-E944-885D-91538A535145}">
      <dsp:nvSpPr>
        <dsp:cNvPr id="0" name=""/>
        <dsp:cNvSpPr/>
      </dsp:nvSpPr>
      <dsp:spPr>
        <a:xfrm>
          <a:off x="0" y="1131623"/>
          <a:ext cx="5084071" cy="319409"/>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dirty="0"/>
            <a:t>Category 4 </a:t>
          </a:r>
        </a:p>
        <a:p>
          <a:pPr marL="0" lvl="0" indent="0" algn="l" defTabSz="311150">
            <a:lnSpc>
              <a:spcPct val="90000"/>
            </a:lnSpc>
            <a:spcBef>
              <a:spcPct val="0"/>
            </a:spcBef>
            <a:spcAft>
              <a:spcPct val="35000"/>
            </a:spcAft>
            <a:buNone/>
          </a:pPr>
          <a:r>
            <a:rPr lang="en-US" sz="700" b="1" kern="1200" dirty="0"/>
            <a:t>Secondary research of deidentified existing data</a:t>
          </a:r>
          <a:endParaRPr lang="en-US" sz="700" kern="1200" dirty="0"/>
        </a:p>
      </dsp:txBody>
      <dsp:txXfrm>
        <a:off x="15592" y="1147215"/>
        <a:ext cx="5052887" cy="288225"/>
      </dsp:txXfrm>
    </dsp:sp>
    <dsp:sp modelId="{FD460623-DA11-AF4B-8D9B-C806E2AF730B}">
      <dsp:nvSpPr>
        <dsp:cNvPr id="0" name=""/>
        <dsp:cNvSpPr/>
      </dsp:nvSpPr>
      <dsp:spPr>
        <a:xfrm>
          <a:off x="0" y="1471193"/>
          <a:ext cx="5084071" cy="319409"/>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dirty="0"/>
            <a:t>Category 5 </a:t>
          </a:r>
        </a:p>
        <a:p>
          <a:pPr marL="0" lvl="0" indent="0" algn="l" defTabSz="311150">
            <a:lnSpc>
              <a:spcPct val="90000"/>
            </a:lnSpc>
            <a:spcBef>
              <a:spcPct val="0"/>
            </a:spcBef>
            <a:spcAft>
              <a:spcPct val="35000"/>
            </a:spcAft>
            <a:buNone/>
          </a:pPr>
          <a:r>
            <a:rPr lang="en-US" sz="700" b="1" i="0" kern="1200" dirty="0"/>
            <a:t>Public benefit or service program </a:t>
          </a:r>
          <a:endParaRPr lang="en-US" sz="700" kern="1200" dirty="0"/>
        </a:p>
      </dsp:txBody>
      <dsp:txXfrm>
        <a:off x="15592" y="1486785"/>
        <a:ext cx="5052887" cy="288225"/>
      </dsp:txXfrm>
    </dsp:sp>
    <dsp:sp modelId="{A7F26147-4E57-8A40-8622-E47507B54BDD}">
      <dsp:nvSpPr>
        <dsp:cNvPr id="0" name=""/>
        <dsp:cNvSpPr/>
      </dsp:nvSpPr>
      <dsp:spPr>
        <a:xfrm>
          <a:off x="0" y="1810763"/>
          <a:ext cx="5084071" cy="319409"/>
        </a:xfrm>
        <a:prstGeom prst="roundRect">
          <a:avLst/>
        </a:prstGeom>
        <a:solidFill>
          <a:schemeClr val="accent2">
            <a:hueOff val="-1212803"/>
            <a:satOff val="-69940"/>
            <a:lumOff val="7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dirty="0"/>
            <a:t>Category 6</a:t>
          </a:r>
        </a:p>
        <a:p>
          <a:pPr marL="0" lvl="0" indent="0" algn="l" defTabSz="311150">
            <a:lnSpc>
              <a:spcPct val="90000"/>
            </a:lnSpc>
            <a:spcBef>
              <a:spcPct val="0"/>
            </a:spcBef>
            <a:spcAft>
              <a:spcPct val="35000"/>
            </a:spcAft>
            <a:buNone/>
          </a:pPr>
          <a:r>
            <a:rPr lang="en-US" sz="700" b="1" kern="1200" dirty="0"/>
            <a:t> Taste and food quality evaluation and consumer acceptance </a:t>
          </a:r>
          <a:endParaRPr lang="en-US" sz="700" kern="1200" dirty="0"/>
        </a:p>
      </dsp:txBody>
      <dsp:txXfrm>
        <a:off x="15592" y="1826355"/>
        <a:ext cx="5052887" cy="288225"/>
      </dsp:txXfrm>
    </dsp:sp>
    <dsp:sp modelId="{B2B356F5-9E0D-A541-9984-0A636261A69C}">
      <dsp:nvSpPr>
        <dsp:cNvPr id="0" name=""/>
        <dsp:cNvSpPr/>
      </dsp:nvSpPr>
      <dsp:spPr>
        <a:xfrm>
          <a:off x="0" y="2150333"/>
          <a:ext cx="5084071" cy="319409"/>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US" sz="700" b="1" kern="1200" dirty="0"/>
            <a:t>Categories 7 &amp; 8 Secondary research requiring broad consent</a:t>
          </a:r>
          <a:endParaRPr lang="en-US" sz="700" kern="1200" dirty="0"/>
        </a:p>
      </dsp:txBody>
      <dsp:txXfrm>
        <a:off x="15592" y="2165925"/>
        <a:ext cx="5052887" cy="28822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F4BF3D1E538D4A9120BB2CF58CE3B3" ma:contentTypeVersion="4" ma:contentTypeDescription="Create a new document." ma:contentTypeScope="" ma:versionID="47b3f370d5f9cd4328b7e7d951381e38">
  <xsd:schema xmlns:xsd="http://www.w3.org/2001/XMLSchema" xmlns:xs="http://www.w3.org/2001/XMLSchema" xmlns:p="http://schemas.microsoft.com/office/2006/metadata/properties" xmlns:ns2="78df8464-7162-45f0-ae7b-209187c437da" targetNamespace="http://schemas.microsoft.com/office/2006/metadata/properties" ma:root="true" ma:fieldsID="08d9112cf2df6203ffbf97c8e04f7685" ns2:_="">
    <xsd:import namespace="78df8464-7162-45f0-ae7b-209187c437d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f8464-7162-45f0-ae7b-209187c43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1B9043-5D09-4E16-A04F-91242133036F}"/>
</file>

<file path=customXml/itemProps2.xml><?xml version="1.0" encoding="utf-8"?>
<ds:datastoreItem xmlns:ds="http://schemas.openxmlformats.org/officeDocument/2006/customXml" ds:itemID="{485E6C92-03AD-4526-87B1-A16BD363D009}"/>
</file>

<file path=customXml/itemProps3.xml><?xml version="1.0" encoding="utf-8"?>
<ds:datastoreItem xmlns:ds="http://schemas.openxmlformats.org/officeDocument/2006/customXml" ds:itemID="{591F7A6B-5554-4F35-81E5-0C96B9FEF8E3}"/>
</file>

<file path=docProps/app.xml><?xml version="1.0" encoding="utf-8"?>
<Properties xmlns="http://schemas.openxmlformats.org/officeDocument/2006/extended-properties" xmlns:vt="http://schemas.openxmlformats.org/officeDocument/2006/docPropsVTypes">
  <Template>Normal.dotm</Template>
  <TotalTime>1</TotalTime>
  <Pages>3</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Davis</dc:creator>
  <cp:keywords/>
  <dc:description/>
  <cp:lastModifiedBy>Kay Davis</cp:lastModifiedBy>
  <cp:revision>2</cp:revision>
  <dcterms:created xsi:type="dcterms:W3CDTF">2024-04-24T19:32:00Z</dcterms:created>
  <dcterms:modified xsi:type="dcterms:W3CDTF">2024-04-24T19:32:00Z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2d100c8b,897685,73b36527</vt:lpwstr>
  </property>
  <property fmtid="{D5CDD505-2E9C-101B-9397-08002B2CF9AE}" pid="3" name="ClassificationContentMarkingFooterFontProps">
    <vt:lpwstr>#000000,10,Calibri</vt:lpwstr>
  </property>
  <property fmtid="{D5CDD505-2E9C-101B-9397-08002B2CF9AE}" pid="4" name="ClassificationContentMarkingFooterText">
    <vt:lpwstr>SMU - Public Data</vt:lpwstr>
  </property>
  <property fmtid="{D5CDD505-2E9C-101B-9397-08002B2CF9AE}" pid="5" name="MSIP_Label_5eb34895-2a3d-41ac-8d56-5e74ddb2c5dc_Enabled">
    <vt:lpwstr>true</vt:lpwstr>
  </property>
  <property fmtid="{D5CDD505-2E9C-101B-9397-08002B2CF9AE}" pid="6" name="MSIP_Label_5eb34895-2a3d-41ac-8d56-5e74ddb2c5dc_SetDate">
    <vt:lpwstr>2024-04-24T19:29:22Z</vt:lpwstr>
  </property>
  <property fmtid="{D5CDD505-2E9C-101B-9397-08002B2CF9AE}" pid="7" name="MSIP_Label_5eb34895-2a3d-41ac-8d56-5e74ddb2c5dc_Method">
    <vt:lpwstr>Privileged</vt:lpwstr>
  </property>
  <property fmtid="{D5CDD505-2E9C-101B-9397-08002B2CF9AE}" pid="8" name="MSIP_Label_5eb34895-2a3d-41ac-8d56-5e74ddb2c5dc_Name">
    <vt:lpwstr>SMU - Public Data</vt:lpwstr>
  </property>
  <property fmtid="{D5CDD505-2E9C-101B-9397-08002B2CF9AE}" pid="9" name="MSIP_Label_5eb34895-2a3d-41ac-8d56-5e74ddb2c5dc_SiteId">
    <vt:lpwstr>284028c3-fc2c-4fb4-8aaf-3c3174d2edbc</vt:lpwstr>
  </property>
  <property fmtid="{D5CDD505-2E9C-101B-9397-08002B2CF9AE}" pid="10" name="MSIP_Label_5eb34895-2a3d-41ac-8d56-5e74ddb2c5dc_ActionId">
    <vt:lpwstr>1b30856f-f88e-4928-b68f-c426058dfaee</vt:lpwstr>
  </property>
  <property fmtid="{D5CDD505-2E9C-101B-9397-08002B2CF9AE}" pid="11" name="MSIP_Label_5eb34895-2a3d-41ac-8d56-5e74ddb2c5dc_ContentBits">
    <vt:lpwstr>2</vt:lpwstr>
  </property>
  <property fmtid="{D5CDD505-2E9C-101B-9397-08002B2CF9AE}" pid="12" name="ContentTypeId">
    <vt:lpwstr>0x0101006FF4BF3D1E538D4A9120BB2CF58CE3B3</vt:lpwstr>
  </property>
</Properties>
</file>